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A6E" w:rsidRDefault="00644FC6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Melléklet a 129</w:t>
      </w:r>
      <w:bookmarkStart w:id="0" w:name="_GoBack"/>
      <w:bookmarkEnd w:id="0"/>
      <w:r w:rsidR="00664A6E" w:rsidRPr="00664A6E">
        <w:rPr>
          <w:rFonts w:ascii="Times New Roman" w:hAnsi="Times New Roman" w:cs="Times New Roman"/>
          <w:i/>
        </w:rPr>
        <w:t>/2018. sz. képviselő-testületi határozathoz</w:t>
      </w: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4E7638" w:rsidP="009D7F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mallCaps/>
          <w:noProof/>
          <w:lang w:eastAsia="hu-HU"/>
        </w:rPr>
        <w:drawing>
          <wp:inline distT="0" distB="0" distL="0" distR="0" wp14:anchorId="539B24FC">
            <wp:extent cx="1847850" cy="191452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7B7891">
      <w:pPr>
        <w:spacing w:after="0" w:line="240" w:lineRule="auto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Pr="007B7891" w:rsidRDefault="009D7F1E" w:rsidP="009D7F1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B7891">
        <w:rPr>
          <w:rFonts w:ascii="Times New Roman" w:hAnsi="Times New Roman" w:cs="Times New Roman"/>
          <w:b/>
          <w:sz w:val="56"/>
          <w:szCs w:val="56"/>
        </w:rPr>
        <w:t>Beszámoló a Kiskőrösi Polgármesteri Hivatal 2017. évi tevékenységéről</w:t>
      </w:r>
    </w:p>
    <w:p w:rsidR="00816268" w:rsidRPr="00722ABC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  <w:sz w:val="50"/>
          <w:szCs w:val="50"/>
        </w:rPr>
      </w:pPr>
    </w:p>
    <w:p w:rsidR="00816268" w:rsidRPr="00722ABC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  <w:sz w:val="50"/>
          <w:szCs w:val="50"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16268" w:rsidRDefault="00816268" w:rsidP="00664A6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35A7A" w:rsidRDefault="00935A7A" w:rsidP="008B4826">
      <w:pPr>
        <w:spacing w:after="0" w:line="240" w:lineRule="auto"/>
        <w:rPr>
          <w:rFonts w:ascii="Times New Roman" w:hAnsi="Times New Roman" w:cs="Times New Roman"/>
          <w:i/>
        </w:rPr>
      </w:pP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</w:rPr>
      </w:pPr>
      <w:r w:rsidRPr="002900C3">
        <w:rPr>
          <w:rFonts w:ascii="Times New Roman" w:hAnsi="Times New Roman" w:cs="Times New Roman"/>
        </w:rPr>
        <w:lastRenderedPageBreak/>
        <w:t>A Polgármesteri Hivatal fő feladata – mind államigazgatási, mind pedig önkormányzati ügyekben - a döntések előkészítése és végrehajtása.</w:t>
      </w:r>
    </w:p>
    <w:p w:rsidR="008B4826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Polgármesteri Hivatalban végzett feladatok részletezése</w:t>
      </w:r>
    </w:p>
    <w:p w:rsidR="008B4826" w:rsidRPr="002900C3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00C3">
        <w:rPr>
          <w:rFonts w:ascii="Times New Roman" w:hAnsi="Times New Roman" w:cs="Times New Roman"/>
        </w:rPr>
        <w:t>A Polgármesteri Hivatal Szervezeti felépítése:</w:t>
      </w:r>
    </w:p>
    <w:p w:rsidR="008B4826" w:rsidRPr="00916726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916726">
        <w:rPr>
          <w:rFonts w:ascii="Times New Roman" w:hAnsi="Times New Roman" w:cs="Times New Roman"/>
          <w:b/>
        </w:rPr>
        <w:t>I. Stratégiai és városüzemeltetési osztály (18 fő)</w:t>
      </w:r>
    </w:p>
    <w:p w:rsidR="008B4826" w:rsidRPr="00916726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916726">
        <w:rPr>
          <w:rFonts w:ascii="Times New Roman" w:hAnsi="Times New Roman" w:cs="Times New Roman"/>
          <w:b/>
        </w:rPr>
        <w:t>-</w:t>
      </w:r>
      <w:r w:rsidRPr="00916726">
        <w:rPr>
          <w:rFonts w:ascii="Times New Roman" w:hAnsi="Times New Roman" w:cs="Times New Roman"/>
          <w:b/>
        </w:rPr>
        <w:tab/>
        <w:t>Városüzemeltetési csoport</w:t>
      </w:r>
    </w:p>
    <w:p w:rsidR="008B4826" w:rsidRPr="00916726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916726">
        <w:rPr>
          <w:rFonts w:ascii="Times New Roman" w:hAnsi="Times New Roman" w:cs="Times New Roman"/>
          <w:b/>
        </w:rPr>
        <w:t>-</w:t>
      </w:r>
      <w:r w:rsidRPr="00916726">
        <w:rPr>
          <w:rFonts w:ascii="Times New Roman" w:hAnsi="Times New Roman" w:cs="Times New Roman"/>
          <w:b/>
        </w:rPr>
        <w:tab/>
        <w:t>Pályázati és beszerzési csoport</w:t>
      </w: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916726">
        <w:rPr>
          <w:rFonts w:ascii="Times New Roman" w:hAnsi="Times New Roman" w:cs="Times New Roman"/>
          <w:b/>
        </w:rPr>
        <w:t>-</w:t>
      </w:r>
      <w:r w:rsidRPr="00916726">
        <w:rPr>
          <w:rFonts w:ascii="Times New Roman" w:hAnsi="Times New Roman" w:cs="Times New Roman"/>
          <w:b/>
        </w:rPr>
        <w:tab/>
        <w:t>Titkársági és gondnoksági csoport</w:t>
      </w: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II. Közigazgatási osztály (16 fő)</w:t>
      </w: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-</w:t>
      </w:r>
      <w:r w:rsidRPr="002900C3">
        <w:rPr>
          <w:rFonts w:ascii="Times New Roman" w:hAnsi="Times New Roman" w:cs="Times New Roman"/>
          <w:b/>
        </w:rPr>
        <w:tab/>
        <w:t>Szociális és igazgatási csoport</w:t>
      </w: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-</w:t>
      </w:r>
      <w:r w:rsidRPr="002900C3">
        <w:rPr>
          <w:rFonts w:ascii="Times New Roman" w:hAnsi="Times New Roman" w:cs="Times New Roman"/>
          <w:b/>
        </w:rPr>
        <w:tab/>
        <w:t>Adócsoport</w:t>
      </w: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-</w:t>
      </w:r>
      <w:r w:rsidRPr="002900C3">
        <w:rPr>
          <w:rFonts w:ascii="Times New Roman" w:hAnsi="Times New Roman" w:cs="Times New Roman"/>
          <w:b/>
        </w:rPr>
        <w:tab/>
        <w:t>Építéshatósági csoport</w:t>
      </w:r>
    </w:p>
    <w:p w:rsidR="008B4826" w:rsidRPr="002900C3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III. Pénzügyi osztály (9 fő)</w:t>
      </w:r>
    </w:p>
    <w:p w:rsidR="008B4826" w:rsidRPr="00FF46EB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2900C3">
        <w:rPr>
          <w:rFonts w:ascii="Times New Roman" w:hAnsi="Times New Roman" w:cs="Times New Roman"/>
          <w:b/>
        </w:rPr>
        <w:t>IV. Főépítész</w:t>
      </w:r>
    </w:p>
    <w:p w:rsidR="008B4826" w:rsidRPr="00FF46EB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</w:p>
    <w:p w:rsidR="008B4826" w:rsidRPr="00FF46EB" w:rsidRDefault="008B4826" w:rsidP="008B4826">
      <w:pPr>
        <w:spacing w:after="0" w:line="240" w:lineRule="auto"/>
        <w:rPr>
          <w:rFonts w:ascii="Times New Roman" w:hAnsi="Times New Roman" w:cs="Times New Roman"/>
          <w:b/>
        </w:rPr>
      </w:pPr>
      <w:r w:rsidRPr="00FF46EB">
        <w:rPr>
          <w:rFonts w:ascii="Times New Roman" w:hAnsi="Times New Roman" w:cs="Times New Roman"/>
          <w:b/>
        </w:rPr>
        <w:t>A jegyző</w:t>
      </w: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4826" w:rsidRPr="00C456F4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56F4">
        <w:rPr>
          <w:rFonts w:ascii="Times New Roman" w:hAnsi="Times New Roman" w:cs="Times New Roman"/>
          <w:color w:val="000000"/>
        </w:rPr>
        <w:t xml:space="preserve">A jegyző </w:t>
      </w:r>
      <w:r>
        <w:rPr>
          <w:rFonts w:ascii="Times New Roman" w:hAnsi="Times New Roman" w:cs="Times New Roman"/>
          <w:color w:val="000000"/>
        </w:rPr>
        <w:t xml:space="preserve">jogszabályban meghatározott feladatai során </w:t>
      </w:r>
      <w:r w:rsidRPr="00C456F4">
        <w:rPr>
          <w:rFonts w:ascii="Times New Roman" w:hAnsi="Times New Roman" w:cs="Times New Roman"/>
          <w:color w:val="000000"/>
        </w:rPr>
        <w:t>vezeti a polgármesteri hivatalt, összehangolja, koordinálja a hivatal által elvégzendő feladatokat. Részt vesz a pályázatok megvalósításában, az előterjesztések elkészítésében, dönt a hatáskörébe tartozó hatósági ügyekben, gyakorolja a hatáskörébe tartozó munkáltatói jogokat. Feladata a képviselő-testületi ülések és az ott résztvevő köztisztviselők munkájának koordinálása, a rendeletek elkészítése, a döntések végrehajtásának összehangolása. A képviselő-testületi ülésen, ha szükséges törvényességi észrevételt tesz, rendszeres tájékoztatást ad a Polgármesternek, a Képviselő-testületnek, a bizottságoknak az Önkormányzat munkáját érintő hatályos jogszabályokról. Gondoskodik a megalkotott önkormányzati rendeletek kihirdetéséről és hatályba léptetését követően a szükséges intézkedések megtételéről.</w:t>
      </w:r>
    </w:p>
    <w:p w:rsidR="008B4826" w:rsidRPr="0017596F" w:rsidRDefault="008B4826" w:rsidP="008B4826">
      <w:pPr>
        <w:spacing w:after="0" w:line="240" w:lineRule="auto"/>
        <w:jc w:val="center"/>
        <w:rPr>
          <w:rFonts w:ascii="Times New Roman" w:hAnsi="Times New Roman" w:cs="Times New Roman"/>
          <w:b/>
          <w:highlight w:val="yellow"/>
          <w:u w:val="single"/>
        </w:rPr>
      </w:pPr>
    </w:p>
    <w:p w:rsidR="008B4826" w:rsidRPr="00093868" w:rsidRDefault="008B4826" w:rsidP="008B482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93868">
        <w:rPr>
          <w:rFonts w:ascii="Times New Roman" w:hAnsi="Times New Roman" w:cs="Times New Roman"/>
          <w:b/>
          <w:u w:val="single"/>
        </w:rPr>
        <w:t>Szervezeti változások a Polgármesteri Hivatalban 2017. évben</w:t>
      </w: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>Kiskőrös Város Képviselő-testülete, a 161/2017. (X.25.) számú képviselő-testületi határozat alapján módosításra került a Polgármesteri Hivatal Szervezeti és Működési Szabályzata. A módosítás</w:t>
      </w:r>
      <w:r>
        <w:rPr>
          <w:rFonts w:ascii="Times New Roman" w:hAnsi="Times New Roman" w:cs="Times New Roman"/>
        </w:rPr>
        <w:t xml:space="preserve"> 2017 év november 1. napjával lépett hatályba, melynek értelmében </w:t>
      </w:r>
      <w:r w:rsidRPr="001B40B0">
        <w:rPr>
          <w:rFonts w:ascii="Times New Roman" w:hAnsi="Times New Roman" w:cs="Times New Roman"/>
        </w:rPr>
        <w:t>új elemként jelenik meg a Városüzemeltetési csoport és a Pályázati és beszerzési csoport, a Titkársági és gondnoksági csoport pedig változatlan formában és összetételben működ</w:t>
      </w:r>
      <w:r>
        <w:rPr>
          <w:rFonts w:ascii="Times New Roman" w:hAnsi="Times New Roman" w:cs="Times New Roman"/>
        </w:rPr>
        <w:t>ött</w:t>
      </w:r>
      <w:r w:rsidRPr="001B40B0">
        <w:rPr>
          <w:rFonts w:ascii="Times New Roman" w:hAnsi="Times New Roman" w:cs="Times New Roman"/>
        </w:rPr>
        <w:t xml:space="preserve"> tovább. A Városüzemeltetési csoporthoz a következő munkakörök tartoznak a</w:t>
      </w:r>
      <w:r>
        <w:rPr>
          <w:rFonts w:ascii="Times New Roman" w:hAnsi="Times New Roman" w:cs="Times New Roman"/>
        </w:rPr>
        <w:t>z átszervezés eredményeképpen</w:t>
      </w:r>
      <w:r w:rsidRPr="001B40B0">
        <w:rPr>
          <w:rFonts w:ascii="Times New Roman" w:hAnsi="Times New Roman" w:cs="Times New Roman"/>
        </w:rPr>
        <w:t>: vagyongazdálkodási referens, beruházási és karbantartási referens, városüzemeltetési referens, közterület-felügyelő, közmunka irányító, intézményüzemeltetési referens. A pályázati és beszerzési csoporthoz pedig az alábbi munkakörök tartoz</w:t>
      </w:r>
      <w:r>
        <w:rPr>
          <w:rFonts w:ascii="Times New Roman" w:hAnsi="Times New Roman" w:cs="Times New Roman"/>
        </w:rPr>
        <w:t>tak</w:t>
      </w:r>
      <w:r w:rsidRPr="001B40B0">
        <w:rPr>
          <w:rFonts w:ascii="Times New Roman" w:hAnsi="Times New Roman" w:cs="Times New Roman"/>
        </w:rPr>
        <w:t xml:space="preserve">: pályázati és beszerzési csoportvezető, pályázati referens, pályázati munkatárs I., pályázati munkatárs II. A Titkársági és gondnoksági csoportba változatlanul a polgármesteri titkár, képviselő-testületi referens, személyzeti és humánerőforrás referens, iktató, gondnok, fűtő-karbantartó, takarító I.-II. munkakörök tartoznak.  A Pályázati és beszerzési csoport vezetését a csoportvezető látja el, aki osztályvezető helyettes. A Városüzemeltetési csoport és a Titkársági és gondnoksági csoport vezetését egy személyben az osztályvezető, aljegyző látja el. </w:t>
      </w: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 xml:space="preserve">A személyzeti és humánerőforrás referens munkakör megüresedett, amelynek betöltésére nem érkezett megfelelő pályázat, annak ellenére, hogy több fórumon és több alkalommal meghirdetésre került. A munkakör belső átszervezés eredményeképpen betöltésre került. Ennek eredményeképp </w:t>
      </w:r>
      <w:r>
        <w:rPr>
          <w:rFonts w:ascii="Times New Roman" w:hAnsi="Times New Roman" w:cs="Times New Roman"/>
        </w:rPr>
        <w:t xml:space="preserve">megszüntetésre került </w:t>
      </w:r>
      <w:r w:rsidRPr="00F33C9A">
        <w:rPr>
          <w:rFonts w:ascii="Times New Roman" w:hAnsi="Times New Roman" w:cs="Times New Roman"/>
        </w:rPr>
        <w:t>a lakásügyi és ad</w:t>
      </w:r>
      <w:r>
        <w:rPr>
          <w:rFonts w:ascii="Times New Roman" w:hAnsi="Times New Roman" w:cs="Times New Roman"/>
        </w:rPr>
        <w:t>minisztrációs referens munkakör</w:t>
      </w:r>
      <w:r w:rsidRPr="00F33C9A">
        <w:rPr>
          <w:rFonts w:ascii="Times New Roman" w:hAnsi="Times New Roman" w:cs="Times New Roman"/>
        </w:rPr>
        <w:t>, mert a munkakörhöz tatozó feladatokat a Stratégiai és Városüzemeltetési osztály személyzeti és humánerőforrás referense és a Közigazgatási osztály szociális ügyintézője látják el. A szociális ügyintéző többek között az alábbi feladatokat látja el:</w:t>
      </w: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 xml:space="preserve">- előkészíti az önkormányzati lakások bérletére vonatkozó képviselő-testületi döntéseket, szerződéskötéseket </w:t>
      </w: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>- ellátja az önkormányzat, mint társasházi ingatlan-tulajdonos ügyeinek vitelét</w:t>
      </w: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lastRenderedPageBreak/>
        <w:t>- elkülönített nyilvántartást vezet a lakásállományról és a bérleti szerződésekről, valamint a jogcím nélküli lakáshasználókról</w:t>
      </w: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3C9A">
        <w:rPr>
          <w:rFonts w:ascii="Times New Roman" w:hAnsi="Times New Roman" w:cs="Times New Roman"/>
        </w:rPr>
        <w:t xml:space="preserve">- előkészíti és lebonyolítja a lakások hasznosításával kapcsolatos pályázatokat  </w:t>
      </w: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döntés értelmében a</w:t>
      </w:r>
      <w:r w:rsidRPr="00F33C9A">
        <w:rPr>
          <w:rFonts w:ascii="Times New Roman" w:hAnsi="Times New Roman" w:cs="Times New Roman"/>
        </w:rPr>
        <w:t xml:space="preserve"> Közigazgatási osztály feladataihoz tartozik </w:t>
      </w:r>
      <w:r>
        <w:rPr>
          <w:rFonts w:ascii="Times New Roman" w:hAnsi="Times New Roman" w:cs="Times New Roman"/>
        </w:rPr>
        <w:t xml:space="preserve">a </w:t>
      </w:r>
      <w:r w:rsidRPr="00F33C9A">
        <w:rPr>
          <w:rFonts w:ascii="Times New Roman" w:hAnsi="Times New Roman" w:cs="Times New Roman"/>
        </w:rPr>
        <w:t xml:space="preserve">lakáscélú szociális támogatással kapcsolatos feladatok ellátása.   </w:t>
      </w:r>
    </w:p>
    <w:p w:rsidR="008B4826" w:rsidRPr="00F33C9A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F33C9A">
        <w:rPr>
          <w:rFonts w:ascii="Times New Roman" w:hAnsi="Times New Roman" w:cs="Times New Roman"/>
        </w:rPr>
        <w:t>A fent leírtakat figyelembe véve a Polgármesteri Hivatal szervezeti egysége</w:t>
      </w:r>
      <w:r>
        <w:rPr>
          <w:rFonts w:ascii="Times New Roman" w:hAnsi="Times New Roman" w:cs="Times New Roman"/>
        </w:rPr>
        <w:t>inek létszáma egy fővel csökkent, így a teljes létszám 45 főre változott a döntés értelmében.</w:t>
      </w:r>
    </w:p>
    <w:p w:rsidR="008B4826" w:rsidRPr="000A46C4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Pr="00FF46EB" w:rsidRDefault="008B4826" w:rsidP="008B48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46EB">
        <w:rPr>
          <w:rFonts w:ascii="Times New Roman" w:hAnsi="Times New Roman" w:cs="Times New Roman"/>
          <w:b/>
        </w:rPr>
        <w:t>Stratégiai és városüzemeltetési osztály</w:t>
      </w:r>
    </w:p>
    <w:p w:rsidR="008B4826" w:rsidRPr="00FF46EB" w:rsidRDefault="008B4826" w:rsidP="008B4826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8B4826" w:rsidRPr="00FF46EB" w:rsidRDefault="008B4826" w:rsidP="008B4826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Pályázati és beszerzési csoport</w:t>
      </w:r>
      <w:r w:rsidRPr="00FF46EB">
        <w:rPr>
          <w:rFonts w:ascii="Times New Roman" w:hAnsi="Times New Roman" w:cs="Times New Roman"/>
          <w:b/>
        </w:rPr>
        <w:t xml:space="preserve"> </w:t>
      </w:r>
    </w:p>
    <w:p w:rsidR="008B4826" w:rsidRPr="000236B3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F46EB">
        <w:rPr>
          <w:rFonts w:ascii="Times New Roman" w:hAnsi="Times New Roman" w:cs="Times New Roman"/>
          <w:b/>
        </w:rPr>
        <w:br/>
      </w:r>
      <w:r w:rsidRPr="000236B3">
        <w:rPr>
          <w:rFonts w:ascii="Times New Roman" w:hAnsi="Times New Roman" w:cs="Times New Roman"/>
        </w:rPr>
        <w:t>Kiskőrös Város Önkormányzata a 2017-os évben is igen nagy gondot fordított Kiskőrös városának fejlesztésére.</w:t>
      </w:r>
    </w:p>
    <w:p w:rsidR="008B4826" w:rsidRPr="000236B3" w:rsidRDefault="008B4826" w:rsidP="008B482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B4826" w:rsidRPr="000236B3" w:rsidRDefault="008B4826" w:rsidP="008B4826">
      <w:pPr>
        <w:spacing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</w:rPr>
        <w:t>Az Önkormányzat pályázatot</w:t>
      </w:r>
      <w:r w:rsidRPr="000236B3">
        <w:rPr>
          <w:rFonts w:ascii="Times New Roman" w:hAnsi="Times New Roman" w:cs="Times New Roman"/>
        </w:rPr>
        <w:t>t ad</w:t>
      </w:r>
      <w:r>
        <w:rPr>
          <w:rFonts w:ascii="Times New Roman" w:hAnsi="Times New Roman" w:cs="Times New Roman"/>
        </w:rPr>
        <w:t>ott</w:t>
      </w:r>
      <w:r w:rsidRPr="000236B3">
        <w:rPr>
          <w:rFonts w:ascii="Times New Roman" w:hAnsi="Times New Roman" w:cs="Times New Roman"/>
        </w:rPr>
        <w:t xml:space="preserve"> be az „</w:t>
      </w:r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>a helyi esélyegyenlőségi programokban feltárt problémák komplex, a helyi közösségekre és erőforrásokra alapuló kezelést célzó területi hatókörű fejlesztési programok megvalósításának támogatása érdekében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.  A fentebb említett célok mellett a </w:t>
      </w:r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>humán közszolgáltatások terén jelentkező szakemberhiány enyhítését szolgáló ösztönző programok megvalósítását, a hátrányos helyzetű csoportok foglalkoztathatóságra való felkészítést, munkaerő-piaci eszközökben való részesedésének és munkaerő-piacon való megjelenésének elősegítését, a helyi kisközösségek társadalom-szervező szerepének megerősítését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, a </w:t>
      </w:r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>vidék megtartó képességének erősítését, valamint az ezzel kapcsolatos disszemináció támogatását, valamint a kultúrák közötti párbeszéd erősítését is célként említi a projekt.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 xml:space="preserve">A pályázati konstrukció kiemelt célcsoportjai a hátrányos helyzetű, az aktív-, - idős és fiatalkorú lakosság, a helyi közszolgáltatásban dolgozók, a potenciális alkalmazottak, továbbá a nemzetiségek és </w:t>
      </w:r>
      <w:r w:rsidRPr="000236B3">
        <w:rPr>
          <w:rFonts w:ascii="Times New Roman" w:eastAsia="Times New Roman" w:hAnsi="Times New Roman" w:cs="Times New Roman"/>
          <w:lang w:eastAsia="hu-HU"/>
        </w:rPr>
        <w:t>etnikumok. A projektben kötelezően vállalandó és megvalósítandó többek között a h</w:t>
      </w:r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 xml:space="preserve">elyi szakemberhiányos humán közszolgáltatásban elhelyezkedő szakemberek számának növekedése, a </w:t>
      </w:r>
      <w:r w:rsidRPr="000236B3">
        <w:rPr>
          <w:rFonts w:ascii="Times New Roman" w:eastAsia="Times New Roman" w:hAnsi="Times New Roman" w:cs="Times New Roman"/>
          <w:lang w:eastAsia="hu-HU"/>
        </w:rPr>
        <w:t>c</w:t>
      </w:r>
      <w:r w:rsidRPr="000236B3">
        <w:rPr>
          <w:rFonts w:ascii="Times New Roman" w:eastAsia="Times New Roman" w:hAnsi="Times New Roman" w:cs="Times New Roman"/>
          <w:color w:val="000000"/>
          <w:lang w:eastAsia="hu-HU"/>
        </w:rPr>
        <w:t>salád és gyermekjóléti szolgálatok prevenciós szerepének megerősítése, a devianciák megelőzését vagy krízishelyzetek kezelését biztosító foglalkozások megvalósítása, a hátrányos helyzetű csoportok elsődleges munkaerőpiacra jutását - valamint a lakosság egészségmagatartásának fejlesztését célzó közösségi egészségnevelési és egészségfejlesztést támogató programok megvalósítása, a fiatalok közösségépítését, valamint a 18-30 éves korosztály helyben maradását ösztönző, a projekt keretében kialakított programok szervezése.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 Ezen célok eléréséhez nyújt segítséget a fent említett pályázati lehetőség, </w:t>
      </w:r>
      <w:r w:rsidRPr="000236B3">
        <w:rPr>
          <w:rFonts w:ascii="Times New Roman" w:eastAsia="Times New Roman" w:hAnsi="Times New Roman" w:cs="Times New Roman"/>
          <w:b/>
          <w:lang w:eastAsia="hu-HU"/>
        </w:rPr>
        <w:t>EFOP- 1.5.3-16-2017-00102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 azonosítószámmal, amelyet minimum 5 települési önkormányzat részvételével, konzorciumi formában valósíthat meg Önkormányzatunk, további együttműködő partnerek bevonásával. A projekt megvalósítására igényelt támogatás összege 499.852.216,-Ft.</w:t>
      </w:r>
    </w:p>
    <w:p w:rsidR="008B4826" w:rsidRPr="000236B3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Pr="000236B3" w:rsidRDefault="008B4826" w:rsidP="008B4826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236B3">
        <w:rPr>
          <w:rFonts w:ascii="Times New Roman" w:eastAsia="Times New Roman" w:hAnsi="Times New Roman" w:cs="Times New Roman"/>
          <w:lang w:eastAsia="hu-HU"/>
        </w:rPr>
        <w:t xml:space="preserve">Kiskőrös Város 2015-2019. évekre szóló Gazdasági programja tartalmazza Kiskőrös Város Önkormányzata (a továbbiakban: Önkormányzat) azon szándékát, hogy a </w:t>
      </w:r>
      <w:r w:rsidRPr="000236B3">
        <w:rPr>
          <w:rFonts w:ascii="Times New Roman" w:eastAsia="Times New Roman" w:hAnsi="Times New Roman" w:cs="Times New Roman"/>
          <w:b/>
          <w:lang w:eastAsia="hu-HU"/>
        </w:rPr>
        <w:t>csapadékvíz elvezető rendszer korszerűsítése, felújítása, ill. további bővítése megtörténjen.</w:t>
      </w:r>
    </w:p>
    <w:p w:rsidR="008B4826" w:rsidRPr="000236B3" w:rsidRDefault="008B4826" w:rsidP="008B4826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236B3">
        <w:rPr>
          <w:rFonts w:ascii="Times New Roman" w:eastAsia="Times New Roman" w:hAnsi="Times New Roman" w:cs="Times New Roman"/>
          <w:lang w:eastAsia="hu-HU"/>
        </w:rPr>
        <w:t>A térségünkben jellemzővé vált esetenként nagymennyiségű (rendkívüli) csapadék megjelenése, mely egyéb tényezők hatásával (talaj adottságok, domborzat, térségi jellemzők) káros belvíz megjelenését eredményezte és eredményezi, mely a belvízvédelmi létesítmények hiánya vagy a meglévőek nem elégséges működése esetén fokozott belvízkárokat okoz. Kiskőrös Város Önkormányzata a városból lefolyó csapadékvizek tárolására, illetve helyben tartására a város déli, mélyfekvésű területén csapadékvíz tározót kíván létesíteni. A tározó célja a város déli részén összegyűlt csapadékvíz helyben tartása és károkozás mentes levezetése a Sáhor csatornán keresztül. A záportározó kialakítása mellett a Dózsa György, Hrúz Mária és Tompa Mihály utcában elhelyezkedő</w:t>
      </w:r>
      <w:r w:rsidRPr="000236B3">
        <w:rPr>
          <w:rFonts w:ascii="Times New Roman" w:eastAsia="Times New Roman" w:hAnsi="Times New Roman" w:cs="Times New Roman"/>
          <w:bCs/>
          <w:lang w:eastAsia="hu-HU"/>
        </w:rPr>
        <w:t xml:space="preserve"> csapadékvíz elvezető rendszereinek rekonstrukciója is szükséges, mivel az 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érintett utcákban a már meglévő, de funkcióját nem teljesítő zárt csapadékcsatorna, nyílt vízelvezető árok, átereszekkel, illetve szikkasztó árkok találhatók, amelyek nincsenek összekötve. </w:t>
      </w:r>
      <w:r w:rsidRPr="000236B3">
        <w:rPr>
          <w:rFonts w:ascii="Times New Roman" w:hAnsi="Times New Roman" w:cs="Times New Roman"/>
        </w:rPr>
        <w:t xml:space="preserve">A fenti feladatok megvalósítását célzó projekt teljes költségvetése várhatóan </w:t>
      </w:r>
      <w:r w:rsidRPr="000236B3">
        <w:rPr>
          <w:rFonts w:ascii="Times New Roman" w:hAnsi="Times New Roman" w:cs="Times New Roman"/>
        </w:rPr>
        <w:lastRenderedPageBreak/>
        <w:t>bruttó 430.000.000,- Ft, amelyből a támogatás mértéke 300.000.000,-Ft. A projekt keretein belül költségkorlátokkal és szabályokkal meghatározva, nem támogatható minden kivitelezési munkálat, emiatt további önerő bevonása is szükséges a projekt megvalósítás biztosításához. Az elsődleges tervek és költségbecslések alapján a már megítélt 30 millió Forintnyi előkészítési feladatokhoz biztosított önerőn felül szükséges további 100 millió Ft. Mindezek figyelembevételével a projekthez szükséges önerő mértéke összesen 130 millió Ft.</w:t>
      </w:r>
      <w:r w:rsidRPr="000236B3">
        <w:rPr>
          <w:rFonts w:ascii="Times New Roman" w:eastAsia="Times New Roman" w:hAnsi="Times New Roman" w:cs="Times New Roman"/>
          <w:lang w:eastAsia="zh-CN"/>
        </w:rPr>
        <w:t xml:space="preserve"> A benyújtott projektjavaslat az idei évben pozitív elbírálásban részesült.</w:t>
      </w:r>
    </w:p>
    <w:p w:rsidR="008B4826" w:rsidRPr="000236B3" w:rsidRDefault="008B4826" w:rsidP="008B4826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E6DF6">
        <w:rPr>
          <w:rFonts w:ascii="Times New Roman" w:hAnsi="Times New Roman" w:cs="Times New Roman"/>
          <w:b/>
        </w:rPr>
        <w:t>TOP-1.4.1-16</w:t>
      </w:r>
      <w:r w:rsidRPr="000236B3">
        <w:rPr>
          <w:rFonts w:ascii="Times New Roman" w:hAnsi="Times New Roman" w:cs="Times New Roman"/>
        </w:rPr>
        <w:t xml:space="preserve"> kódszámú pályázati konstrukció, mely támogatja </w:t>
      </w:r>
      <w:r w:rsidRPr="000236B3">
        <w:rPr>
          <w:rFonts w:ascii="Times New Roman" w:eastAsia="Times New Roman" w:hAnsi="Times New Roman" w:cs="Times New Roman"/>
          <w:b/>
          <w:lang w:eastAsia="zh-CN"/>
        </w:rPr>
        <w:t xml:space="preserve">intézmény/szolgáltatás infrastrukturális fejlesztése, ezen belül </w:t>
      </w:r>
      <w:r w:rsidRPr="000236B3">
        <w:rPr>
          <w:rFonts w:ascii="Times New Roman" w:eastAsia="Times New Roman" w:hAnsi="Times New Roman" w:cs="Times New Roman"/>
          <w:lang w:eastAsia="zh-CN"/>
        </w:rPr>
        <w:t>bővítés, átalakítás, felújítás (beleértve az épületgépészeti, épületvillamossági és épületszerkezeti fejlesztések megvalósítását. A pályázat keretében a Batthyány utca tagóvoda épületének felújítása valósul meg.</w:t>
      </w:r>
      <w:r w:rsidRPr="002A5893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236B3">
        <w:rPr>
          <w:rFonts w:ascii="Times New Roman" w:eastAsia="Times New Roman" w:hAnsi="Times New Roman" w:cs="Times New Roman"/>
          <w:lang w:eastAsia="zh-CN"/>
        </w:rPr>
        <w:t>A benyújtott projektjavaslat az idei évben pozitív elbírálásban részesült.</w:t>
      </w:r>
    </w:p>
    <w:p w:rsidR="008B4826" w:rsidRDefault="008B4826" w:rsidP="008B4826">
      <w:pPr>
        <w:numPr>
          <w:ilvl w:val="12"/>
          <w:numId w:val="0"/>
        </w:num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lang w:eastAsia="hu-HU"/>
        </w:rPr>
      </w:pPr>
      <w:r w:rsidRPr="000236B3">
        <w:rPr>
          <w:rFonts w:ascii="Times New Roman" w:eastAsia="Times New Roman" w:hAnsi="Times New Roman" w:cs="Times New Roman"/>
          <w:lang w:eastAsia="hu-HU"/>
        </w:rPr>
        <w:t xml:space="preserve">A térségünkben jellemzővé vált esetenként nagymennyiségű (rendkívüli) csapadék megjelenése, mely egyéb tényezők hatásával (talaj adottságok, domborzat, térségi jellemzők) káros belvíz megjelenését eredményezte és eredményezi, mely a belvízvédelmi létesítmények hiánya vagy a meglévőek nem elégséges működése esetén fokozott belvízkárokat okoz. Kiskőrös Város Önkormányzata a </w:t>
      </w:r>
      <w:r w:rsidRPr="000236B3">
        <w:rPr>
          <w:rFonts w:ascii="Times New Roman" w:eastAsia="Times New Roman" w:hAnsi="Times New Roman" w:cs="Times New Roman"/>
          <w:b/>
          <w:lang w:eastAsia="hu-HU"/>
        </w:rPr>
        <w:t>Segesvári, Széchenyi, Damjanich- Kertész, illetve Szabadkai utcákban elhelyezkedő</w:t>
      </w:r>
      <w:r w:rsidRPr="000236B3">
        <w:rPr>
          <w:rFonts w:ascii="Times New Roman" w:eastAsia="Times New Roman" w:hAnsi="Times New Roman" w:cs="Times New Roman"/>
          <w:b/>
          <w:bCs/>
          <w:lang w:eastAsia="hu-HU"/>
        </w:rPr>
        <w:t xml:space="preserve"> csapadékvíz elvezető rendszereinek rekonstrukcióját</w:t>
      </w:r>
      <w:r w:rsidRPr="000236B3">
        <w:rPr>
          <w:rFonts w:ascii="Times New Roman" w:eastAsia="Times New Roman" w:hAnsi="Times New Roman" w:cs="Times New Roman"/>
          <w:bCs/>
          <w:lang w:eastAsia="hu-HU"/>
        </w:rPr>
        <w:t xml:space="preserve"> célzó projektjavaslatot kíván benyújtani, mivel az </w:t>
      </w:r>
      <w:r w:rsidRPr="000236B3">
        <w:rPr>
          <w:rFonts w:ascii="Times New Roman" w:eastAsia="Times New Roman" w:hAnsi="Times New Roman" w:cs="Times New Roman"/>
          <w:lang w:eastAsia="hu-HU"/>
        </w:rPr>
        <w:t>érintett utcákban a már meglévő, de funkcióját nem teljesítő zárt csapadékcsatornák, nyílt vízelvezető árkok, illetve szikkasztó árkok találhatók, amelyek nincsenek összekötve így funkciójukat nem tudják ellátni.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0236B3">
        <w:rPr>
          <w:rFonts w:ascii="Times New Roman" w:eastAsia="Times New Roman" w:hAnsi="Times New Roman" w:cs="Times New Roman"/>
          <w:lang w:eastAsia="hu-HU"/>
        </w:rPr>
        <w:t xml:space="preserve">A fenti célok megvalósítása érdekében Önkormányzatunk a projekthez kapcsolódó műszaki, szakmai előkészítő tevékenységeket megkezdte annak érdekében, hogy a projektjavaslat benyújtásra kerülhessen. </w:t>
      </w:r>
    </w:p>
    <w:p w:rsidR="008B4826" w:rsidRPr="000236B3" w:rsidRDefault="008B4826" w:rsidP="003359DA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261">
        <w:rPr>
          <w:rFonts w:ascii="Times New Roman" w:hAnsi="Times New Roman" w:cs="Times New Roman"/>
        </w:rPr>
        <w:t xml:space="preserve">A birkózás hosszú évtizedek óta eredményesen működik városunkban, jelenleg </w:t>
      </w:r>
      <w:r w:rsidRPr="007A066E">
        <w:rPr>
          <w:rFonts w:ascii="Times New Roman" w:hAnsi="Times New Roman" w:cs="Times New Roman"/>
          <w:b/>
        </w:rPr>
        <w:t>a Kiskőrösi Petőfi Birkózó Klub</w:t>
      </w:r>
      <w:r w:rsidRPr="00311261">
        <w:rPr>
          <w:rFonts w:ascii="Times New Roman" w:hAnsi="Times New Roman" w:cs="Times New Roman"/>
        </w:rPr>
        <w:t xml:space="preserve"> keretei között. Nincs olyan sportverseny ahonnan birkózóink érem nélkül térnének haza, hozzájárulva ezzel ahhoz, hogy Kiskőrös város hírnevét öregbítsék és a birkózás iránt rajongókat megörvendeztessék. Kiskőrös Város Önkormányzata lehetőségeihez mérten igyekszik támogatni a klubot, e célt erősítve 2015-ben elkezdődtek a felújítások. A támogatásból illetve a biztosított önerőből az épület teljes talajnedvesség elleni vízszigetelése megvalósult, illetve a </w:t>
      </w:r>
      <w:r w:rsidRPr="002A5893">
        <w:rPr>
          <w:rFonts w:ascii="Times New Roman" w:hAnsi="Times New Roman" w:cs="Times New Roman"/>
        </w:rPr>
        <w:t>két tornaterem teljes körű rekonstrukciója</w:t>
      </w:r>
      <w:r w:rsidRPr="00311261">
        <w:rPr>
          <w:rFonts w:ascii="Times New Roman" w:hAnsi="Times New Roman" w:cs="Times New Roman"/>
        </w:rPr>
        <w:t xml:space="preserve"> (festés, burkolatcsere, belső nyílászárók cseréje, stb.). is, a </w:t>
      </w:r>
      <w:r w:rsidRPr="007A066E">
        <w:rPr>
          <w:rFonts w:ascii="Times New Roman" w:hAnsi="Times New Roman" w:cs="Times New Roman"/>
          <w:b/>
        </w:rPr>
        <w:t>6200 Kiskőrös, Thököly u. 15.</w:t>
      </w:r>
      <w:r w:rsidRPr="00311261">
        <w:rPr>
          <w:rFonts w:ascii="Times New Roman" w:hAnsi="Times New Roman" w:cs="Times New Roman"/>
        </w:rPr>
        <w:t xml:space="preserve"> szám alatti 3740 hrsz-ú önkormányzati tulajdonú ingatlan</w:t>
      </w:r>
      <w:r>
        <w:rPr>
          <w:rFonts w:ascii="Times New Roman" w:hAnsi="Times New Roman" w:cs="Times New Roman"/>
        </w:rPr>
        <w:t>on</w:t>
      </w:r>
      <w:r w:rsidRPr="003112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Az elmúlt évben újabb lehetőség nyílt ezen épület további fejlesztésére, emiatt újabb projektjavaslatot nyújtottunk be, amely pozitív elbírálásban részesült. A projekt keretében az ingatlan tetőhéjazatának teljeskörű cseréje valósul meg.</w:t>
      </w:r>
    </w:p>
    <w:p w:rsidR="008B4826" w:rsidRDefault="008B4826" w:rsidP="003359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4826" w:rsidRPr="00D67B9F" w:rsidRDefault="008B4826" w:rsidP="008B482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67B9F">
        <w:rPr>
          <w:rFonts w:ascii="Times New Roman" w:hAnsi="Times New Roman" w:cs="Times New Roman"/>
          <w:sz w:val="22"/>
          <w:szCs w:val="22"/>
        </w:rPr>
        <w:t xml:space="preserve">2017. február 16. napján megjelent Magyarország Kormányának felhívása a települési önkormányzatok részére a fenntartható közlekedési módok további térnyerése érdekében.   </w:t>
      </w:r>
    </w:p>
    <w:p w:rsidR="008B4826" w:rsidRPr="002A5893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A5893">
        <w:rPr>
          <w:rFonts w:ascii="Times New Roman" w:eastAsia="Times New Roman" w:hAnsi="Times New Roman" w:cs="Times New Roman"/>
          <w:lang w:eastAsia="hu-HU"/>
        </w:rPr>
        <w:t>A felhívás célja, hogy olyan, a fenntartható közlekedés feltételeit megteremtő és erősítő közlekedésfejlesztési intézkedések valósuljanak meg településeken és települések között, melyek hozzájárulnak az éghajlatváltozás mérsékléséhez, a szén-dioxid kibocsátás csökkentéséhez, az élhető városi és települési környezet kialakulásához, valamint az EU2020 és a Nemzeti Közlekedési Infrastruktúra-fejlesztési Stratégia fenntartható fejlődésre és közlekedésre vonatkozó céljainak a teljesüléséhez.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2A5893">
        <w:rPr>
          <w:rFonts w:ascii="Times New Roman" w:eastAsia="Times New Roman" w:hAnsi="Times New Roman" w:cs="Times New Roman"/>
          <w:color w:val="000000"/>
          <w:lang w:eastAsia="hu-HU"/>
        </w:rPr>
        <w:t>A projekteknek a települési mobilitás környezetileg (levegőszennyezés, zajterhelés) és pénzügyileg (működtetők és a közlekedők oldalán) fenntarthatóbbá tételét kell szolgálniuk, és hozzá kell járulniuk a TOP 3. prioritási eredményindikátor (</w:t>
      </w:r>
      <w:r w:rsidRPr="002A5893">
        <w:rPr>
          <w:rFonts w:ascii="Times New Roman" w:eastAsia="Times New Roman" w:hAnsi="Times New Roman" w:cs="Times New Roman"/>
          <w:bCs/>
          <w:color w:val="000000"/>
          <w:lang w:eastAsia="hu-HU"/>
        </w:rPr>
        <w:t>„A napi utazások esetén fő közlekedési eszközként gyalogos, kerékpáros vagy közösségi közlekedési módot választók részaránya”</w:t>
      </w:r>
      <w:r w:rsidRPr="002A5893">
        <w:rPr>
          <w:rFonts w:ascii="Times New Roman" w:eastAsia="Times New Roman" w:hAnsi="Times New Roman" w:cs="Times New Roman"/>
          <w:color w:val="000000"/>
          <w:lang w:eastAsia="hu-HU"/>
        </w:rPr>
        <w:t>) értékének közvetlen települési, és közvetve országos növekedéséhez.</w:t>
      </w:r>
    </w:p>
    <w:p w:rsidR="008B4826" w:rsidRDefault="008B4826" w:rsidP="008B4826">
      <w:pPr>
        <w:spacing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A5893">
        <w:rPr>
          <w:rFonts w:ascii="Times New Roman" w:eastAsia="Times New Roman" w:hAnsi="Times New Roman" w:cs="Times New Roman"/>
          <w:lang w:eastAsia="hu-HU"/>
        </w:rPr>
        <w:t xml:space="preserve">Kiskőrös Város Önkormányzata (továbbiakban: Önkormányzat) a pályázati kiírás tartalmi és formai követelményeit figyelembe véve pályázatot nyújthat be </w:t>
      </w:r>
      <w:r w:rsidRPr="002A5893">
        <w:rPr>
          <w:rFonts w:ascii="Times New Roman" w:eastAsia="Times New Roman" w:hAnsi="Times New Roman" w:cs="Times New Roman"/>
          <w:b/>
          <w:lang w:eastAsia="hu-HU"/>
        </w:rPr>
        <w:t>kerékpárhálózatának bővítésére</w:t>
      </w:r>
      <w:r w:rsidRPr="002A5893">
        <w:rPr>
          <w:rFonts w:ascii="Times New Roman" w:eastAsia="Times New Roman" w:hAnsi="Times New Roman" w:cs="Times New Roman"/>
          <w:lang w:eastAsia="hu-HU"/>
        </w:rPr>
        <w:t xml:space="preserve"> a </w:t>
      </w:r>
      <w:r w:rsidRPr="002A5893">
        <w:rPr>
          <w:rFonts w:ascii="Times New Roman" w:eastAsia="Times New Roman" w:hAnsi="Times New Roman" w:cs="Times New Roman"/>
          <w:b/>
          <w:lang w:eastAsia="hu-HU"/>
        </w:rPr>
        <w:t>Kiskőrös, Bánffy utcától kezdődően Tabdi község bevezető útjáig terjedően</w:t>
      </w:r>
      <w:r w:rsidRPr="002A5893">
        <w:rPr>
          <w:rFonts w:ascii="Times New Roman" w:eastAsia="Times New Roman" w:hAnsi="Times New Roman" w:cs="Times New Roman"/>
          <w:lang w:eastAsia="hu-HU"/>
        </w:rPr>
        <w:t>, mintegy 4, 525 km hosszúságban. A fenti feladatok megvalósítását célzó projekt teljes költségvetése várhatóan bruttó 430.000.000,- Ft</w:t>
      </w:r>
      <w:r>
        <w:rPr>
          <w:rFonts w:ascii="Times New Roman" w:eastAsia="Times New Roman" w:hAnsi="Times New Roman" w:cs="Times New Roman"/>
          <w:lang w:eastAsia="hu-HU"/>
        </w:rPr>
        <w:t>, amely összegre a projektjavaslat benyújtásra került.</w:t>
      </w:r>
    </w:p>
    <w:p w:rsidR="008B4826" w:rsidRDefault="008B4826" w:rsidP="008B4826">
      <w:pPr>
        <w:spacing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7C598F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598F">
        <w:rPr>
          <w:rFonts w:ascii="Times New Roman" w:eastAsia="Times New Roman" w:hAnsi="Times New Roman" w:cs="Times New Roman"/>
          <w:lang w:eastAsia="hu-HU"/>
        </w:rPr>
        <w:lastRenderedPageBreak/>
        <w:t>2017. február 16. napján megjelent Magyarország Kormányának felhívása, melynek célja a térségi gazdasági környezet fejlesztése, a foglalkoztatás elősegítése.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Pr="007C598F">
        <w:rPr>
          <w:rFonts w:ascii="Times New Roman" w:eastAsia="Times New Roman" w:hAnsi="Times New Roman" w:cs="Times New Roman"/>
          <w:lang w:eastAsia="hu-HU"/>
        </w:rPr>
        <w:t>A Kormány célul tűzte ki a helyi gazdaság üzleti infrastrukturális hátterének támogatását, a helyi alapanyagokra alapozott, helyi termelők piacra jutását segítő térségi fejlesztést. A felhívás keretén belül lehetőség nyílik a helyi gazdaság üzleti infrastrukturális hátterének támogatására, a helyi termékek értékesítési csatornáinak infrastrukturális támogatását szolgáló agrárlogisztikai beruházások fejlesztésével.</w:t>
      </w: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598F">
        <w:rPr>
          <w:rFonts w:ascii="Times New Roman" w:eastAsia="Times New Roman" w:hAnsi="Times New Roman" w:cs="Times New Roman"/>
          <w:lang w:eastAsia="hu-HU"/>
        </w:rPr>
        <w:t>A projekt keretében lehetőség van a helyi termelők, helyi termékek piacra jutásának támogatására, az önkormányzati, saját közétkeztetési célokat szolgáló fejlesztések támogatására, illetve a helyi termékek piacra jutását segítő agrár-logisztikai fejlesztések támogatására.</w:t>
      </w:r>
      <w:r>
        <w:rPr>
          <w:rFonts w:ascii="Times New Roman" w:eastAsia="Times New Roman" w:hAnsi="Times New Roman" w:cs="Times New Roman"/>
          <w:lang w:eastAsia="hu-HU"/>
        </w:rPr>
        <w:t xml:space="preserve"> A </w:t>
      </w:r>
      <w:r w:rsidRPr="007C598F">
        <w:rPr>
          <w:rFonts w:ascii="Times New Roman" w:eastAsia="Times New Roman" w:hAnsi="Times New Roman" w:cs="Times New Roman"/>
          <w:b/>
          <w:lang w:eastAsia="hu-HU"/>
        </w:rPr>
        <w:t>TOP- 1.1.3-16</w:t>
      </w:r>
      <w:r>
        <w:rPr>
          <w:rFonts w:ascii="Times New Roman" w:eastAsia="Times New Roman" w:hAnsi="Times New Roman" w:cs="Times New Roman"/>
          <w:lang w:eastAsia="hu-HU"/>
        </w:rPr>
        <w:t xml:space="preserve"> kódszámú projekt keretében Kiskőrös Város Önkormányzata illetve a Kőröskom Kft. konzorciumban a kiskőrösi </w:t>
      </w:r>
      <w:r w:rsidRPr="007C598F">
        <w:rPr>
          <w:rFonts w:ascii="Times New Roman" w:eastAsia="Times New Roman" w:hAnsi="Times New Roman" w:cs="Times New Roman"/>
          <w:b/>
          <w:lang w:eastAsia="hu-HU"/>
        </w:rPr>
        <w:t>piac fejlesztését</w:t>
      </w:r>
      <w:r>
        <w:rPr>
          <w:rFonts w:ascii="Times New Roman" w:eastAsia="Times New Roman" w:hAnsi="Times New Roman" w:cs="Times New Roman"/>
          <w:lang w:eastAsia="hu-HU"/>
        </w:rPr>
        <w:t xml:space="preserve"> valósítja meg </w:t>
      </w:r>
      <w:r w:rsidRPr="007C598F">
        <w:rPr>
          <w:rFonts w:ascii="Times New Roman" w:eastAsia="Times New Roman" w:hAnsi="Times New Roman" w:cs="Times New Roman"/>
          <w:b/>
          <w:lang w:eastAsia="hu-HU"/>
        </w:rPr>
        <w:t>piaccsarnok kialakításával</w:t>
      </w:r>
      <w:r>
        <w:rPr>
          <w:rFonts w:ascii="Times New Roman" w:eastAsia="Times New Roman" w:hAnsi="Times New Roman" w:cs="Times New Roman"/>
          <w:lang w:eastAsia="hu-HU"/>
        </w:rPr>
        <w:t>.  A projekt keretében igényelt támogatás összege 200.000.000.-Ft.</w:t>
      </w:r>
    </w:p>
    <w:p w:rsidR="008B4826" w:rsidRPr="002A5893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DC2BBD" w:rsidRDefault="008B4826" w:rsidP="008B4826">
      <w:pPr>
        <w:spacing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A </w:t>
      </w:r>
      <w:r w:rsidRPr="00DC2BBD">
        <w:rPr>
          <w:rFonts w:ascii="Times New Roman" w:eastAsia="Times New Roman" w:hAnsi="Times New Roman" w:cs="Times New Roman"/>
          <w:color w:val="000000"/>
          <w:lang w:eastAsia="zh-CN"/>
        </w:rPr>
        <w:t>közösségi művelődési intézmény- és szervezetrendszer keretén belül az informális és nem formális tanulás jegyében közösségi képzési és tehetséggondozó helyi és területi szintű szolgáltatást biztosító infrastrukt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úra kialakítása és fejlesztése érdekében pályázati felhívás került meghirdetésre </w:t>
      </w:r>
      <w:r w:rsidRPr="00AE6DF6">
        <w:rPr>
          <w:rFonts w:ascii="Times New Roman" w:eastAsia="Times New Roman" w:hAnsi="Times New Roman" w:cs="Times New Roman"/>
          <w:b/>
          <w:color w:val="000000"/>
          <w:lang w:eastAsia="zh-CN"/>
        </w:rPr>
        <w:t>EFOP- 4.1.7-16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kódszámmal, amelyben a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DC2BBD">
        <w:rPr>
          <w:rFonts w:ascii="Times New Roman" w:eastAsia="Times New Roman" w:hAnsi="Times New Roman" w:cs="Times New Roman"/>
          <w:lang w:eastAsia="zh-CN"/>
        </w:rPr>
        <w:t xml:space="preserve">projekt célcsoportja: </w:t>
      </w:r>
      <w:r w:rsidRPr="00DC2BBD">
        <w:rPr>
          <w:rFonts w:ascii="Times New Roman" w:eastAsia="Times New Roman" w:hAnsi="Times New Roman" w:cs="Times New Roman"/>
          <w:color w:val="000000"/>
          <w:lang w:eastAsia="zh-CN"/>
        </w:rPr>
        <w:t>a köznevelési intézményekben tanulók, dolgozók és az egész életen á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t tartó tanulásban részt vevők. </w:t>
      </w:r>
      <w:r w:rsidRPr="00DC2BBD">
        <w:rPr>
          <w:rFonts w:ascii="Times New Roman" w:eastAsia="Times New Roman" w:hAnsi="Times New Roman" w:cs="Times New Roman"/>
          <w:b/>
          <w:lang w:eastAsia="zh-CN"/>
        </w:rPr>
        <w:t>A projekt keretében r</w:t>
      </w:r>
      <w:r w:rsidRPr="00DC2BBD">
        <w:rPr>
          <w:rFonts w:ascii="Times New Roman" w:eastAsia="Times New Roman" w:hAnsi="Times New Roman" w:cs="Times New Roman"/>
          <w:b/>
          <w:color w:val="000000"/>
          <w:lang w:eastAsia="zh-CN"/>
        </w:rPr>
        <w:t>egionális szerepű könnyűzenei képző- és tehetséggondozó központ megvalósítását tervezzük.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DC2BBD">
        <w:rPr>
          <w:rFonts w:ascii="Times New Roman" w:eastAsia="Times New Roman" w:hAnsi="Times New Roman" w:cs="Times New Roman"/>
          <w:color w:val="000000"/>
          <w:lang w:eastAsia="zh-CN"/>
        </w:rPr>
        <w:t>A beruházás során könnyűzenei oktatás végzésére alkalmas - szükséglet szerint hangcsillapított légkondicionált - helyiségek; koncertek és együttlétek, rendezvények megtartására alkalmas - szükséglet szerint hangcsillapított - 60 fő befogadóképességű közösségi tér; szabadtéri koncert- és közösségi tér; stúdió, képzések tanácsadások megtartására alkalmas helyiség, iroda, raktár, valamint kiszolgáló helyiségek kialakítását tervezzük.</w:t>
      </w:r>
      <w:r w:rsidRPr="00DC2BBD">
        <w:rPr>
          <w:rFonts w:ascii="Times New Roman" w:eastAsia="Times New Roman" w:hAnsi="Times New Roman" w:cs="Times New Roman"/>
          <w:lang w:eastAsia="zh-CN"/>
        </w:rPr>
        <w:t xml:space="preserve"> A fenti feladatok megvalósítását célzó projekt teljes költségvetése megközelítőleg 125.000.000,- Ft, ami 5.000.000,-Ft-tal több, mint a maximálisan igényelhető támogatási összeg. Így 5.000.000,- Ft önerő bevonása is szükséges.</w:t>
      </w:r>
    </w:p>
    <w:p w:rsidR="008B4826" w:rsidRPr="003359DA" w:rsidRDefault="008B4826" w:rsidP="008B4826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35449D">
        <w:rPr>
          <w:rFonts w:ascii="Times New Roman" w:eastAsia="Times New Roman" w:hAnsi="Times New Roman" w:cs="Times New Roman"/>
          <w:color w:val="000000"/>
          <w:lang w:eastAsia="zh-CN"/>
        </w:rPr>
        <w:t>Pályázat került benyújtásra, amelynek célja az, hogy a</w:t>
      </w:r>
      <w:r w:rsidRPr="00DC2BBD">
        <w:rPr>
          <w:rFonts w:ascii="Times New Roman" w:eastAsia="Times New Roman" w:hAnsi="Times New Roman" w:cs="Times New Roman"/>
          <w:color w:val="000000"/>
          <w:lang w:eastAsia="zh-CN"/>
        </w:rPr>
        <w:t xml:space="preserve"> vidéki fiatalok számára reális alternatívává váljon a helyben maradás, illetve az oda költözés, ezáltal a vidék népességmegtartó ereje és versenyképessége javuljon. </w:t>
      </w:r>
      <w:r w:rsidRPr="0035449D">
        <w:rPr>
          <w:rFonts w:ascii="Times New Roman" w:eastAsia="Times New Roman" w:hAnsi="Times New Roman" w:cs="Times New Roman"/>
          <w:color w:val="000000"/>
          <w:lang w:eastAsia="zh-CN"/>
        </w:rPr>
        <w:t>Valamint az, hogy</w:t>
      </w:r>
      <w:r w:rsidRPr="00DC2BBD">
        <w:rPr>
          <w:rFonts w:ascii="Times New Roman" w:eastAsia="Times New Roman" w:hAnsi="Times New Roman" w:cs="Times New Roman"/>
          <w:color w:val="000000"/>
          <w:lang w:eastAsia="zh-CN"/>
        </w:rPr>
        <w:t xml:space="preserve"> a kevésbé fejlett régiókban élő, illetve onnan elszármazott, továbbá az ott letelepülni szándékozó településeken élő fiatalok képessé tétele arra, hogy a fenti településeken fellelhető életlehetőségekkel tudjanak élni, és helyben egzisztenciát, családot alapítani. </w:t>
      </w:r>
      <w:r w:rsidRPr="0035449D">
        <w:rPr>
          <w:rFonts w:ascii="Times New Roman" w:eastAsia="Times New Roman" w:hAnsi="Times New Roman" w:cs="Times New Roman"/>
          <w:lang w:eastAsia="zh-CN"/>
        </w:rPr>
        <w:t xml:space="preserve">A projekt során </w:t>
      </w:r>
      <w:r w:rsidRPr="0035449D">
        <w:rPr>
          <w:rFonts w:ascii="Times New Roman" w:eastAsia="Times New Roman" w:hAnsi="Times New Roman" w:cs="Times New Roman"/>
          <w:b/>
          <w:color w:val="000000"/>
          <w:lang w:eastAsia="zh-CN"/>
        </w:rPr>
        <w:t>15 db lakás felújítását,</w:t>
      </w:r>
      <w:r w:rsidRPr="0035449D">
        <w:rPr>
          <w:rFonts w:ascii="Times New Roman" w:eastAsia="Times New Roman" w:hAnsi="Times New Roman" w:cs="Times New Roman"/>
          <w:color w:val="000000"/>
          <w:lang w:eastAsia="zh-CN"/>
        </w:rPr>
        <w:t xml:space="preserve"> fiatalok életpálya-tervezését segítő helyi szolgáltatások nyújtását; helyi lehetőségeket, értékeket, adottságokat feltáró, erre épülő gazdasági együttműködéseket generáló tevékenységek szervezését; a fejlesztési célterületen megvalósuló, hazai és uniós pályázati programokban való részvételre vonatkozó személyes felkészítést; valamint a fiatalok helyben maradását támogató, saját jó gyakorlatok folytatását, illetve más településeken alkalmazott jó gyakorlatok adaptálását kívánjuk megvalósítani.</w:t>
      </w:r>
      <w:r w:rsidRPr="0035449D">
        <w:rPr>
          <w:rFonts w:ascii="Times New Roman" w:hAnsi="Times New Roman" w:cs="Times New Roman"/>
        </w:rPr>
        <w:t xml:space="preserve"> Kiskőrös Város Önkormányzata a</w:t>
      </w:r>
      <w:r>
        <w:rPr>
          <w:rFonts w:ascii="Times New Roman" w:hAnsi="Times New Roman" w:cs="Times New Roman"/>
        </w:rPr>
        <w:t>z</w:t>
      </w:r>
      <w:r w:rsidRPr="0035449D">
        <w:rPr>
          <w:rFonts w:ascii="Times New Roman" w:hAnsi="Times New Roman" w:cs="Times New Roman"/>
        </w:rPr>
        <w:t xml:space="preserve"> </w:t>
      </w:r>
      <w:r w:rsidRPr="0035449D">
        <w:rPr>
          <w:rFonts w:ascii="Times New Roman" w:hAnsi="Times New Roman" w:cs="Times New Roman"/>
          <w:b/>
          <w:bCs/>
          <w:caps/>
        </w:rPr>
        <w:t>efop-1.2.11-16 kódszámú „ESÉLY OTTHON”</w:t>
      </w:r>
      <w:r>
        <w:rPr>
          <w:rFonts w:ascii="Times New Roman" w:hAnsi="Times New Roman" w:cs="Times New Roman"/>
          <w:b/>
          <w:bCs/>
          <w:caps/>
        </w:rPr>
        <w:t xml:space="preserve"> c.</w:t>
      </w:r>
      <w:r w:rsidRPr="0035449D">
        <w:rPr>
          <w:rFonts w:ascii="Times New Roman" w:hAnsi="Times New Roman" w:cs="Times New Roman"/>
          <w:b/>
          <w:bCs/>
          <w:caps/>
        </w:rPr>
        <w:t xml:space="preserve"> </w:t>
      </w:r>
      <w:r w:rsidRPr="0035449D">
        <w:rPr>
          <w:rFonts w:ascii="Times New Roman" w:hAnsi="Times New Roman" w:cs="Times New Roman"/>
        </w:rPr>
        <w:t>pályázati kiírás tartalmi és formai követelményeit figyelembe véve bruttó 200.000.000 Ft összegű támogatás elnyerése érdekében pályázatot nyújtott be.</w:t>
      </w:r>
    </w:p>
    <w:p w:rsidR="008B4826" w:rsidRPr="005B6E09" w:rsidRDefault="008B4826" w:rsidP="008B48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5B6E09">
        <w:rPr>
          <w:rFonts w:ascii="Times New Roman" w:eastAsia="Times New Roman" w:hAnsi="Times New Roman" w:cs="Times New Roman"/>
          <w:lang w:eastAsia="zh-CN"/>
        </w:rPr>
        <w:t xml:space="preserve">2016. december 27. napján jelent meg </w:t>
      </w:r>
      <w:r w:rsidRPr="005B6E09">
        <w:rPr>
          <w:rFonts w:ascii="Times New Roman" w:eastAsia="Times New Roman" w:hAnsi="Times New Roman" w:cs="Times New Roman"/>
          <w:color w:val="000000"/>
          <w:lang w:eastAsia="zh-CN"/>
        </w:rPr>
        <w:t xml:space="preserve">Magyarország Kormányának felhívása könyvtári intézményrendszer és fenntartóik részére az egész életen át tartó tanuláshoz szükséges kulcskompetenciák erősítését támogató szükséges infrastrukturális feltételek megvalósítása céljából. </w:t>
      </w:r>
    </w:p>
    <w:p w:rsidR="008B4826" w:rsidRDefault="008B4826" w:rsidP="008B48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A</w:t>
      </w:r>
      <w:r w:rsidRPr="005B6E09">
        <w:rPr>
          <w:rFonts w:ascii="Times New Roman" w:eastAsia="Times New Roman" w:hAnsi="Times New Roman" w:cs="Times New Roman"/>
          <w:color w:val="000000"/>
          <w:lang w:eastAsia="zh-CN"/>
        </w:rPr>
        <w:t xml:space="preserve"> konstrukció keretében olyan infrastrukturális fejlesztések valósulhatnak meg, amelyek támogatják az EFOP-3.3 és az EFOP-3.7 intézkedése szerinti, az egész életen át tartó tanulást támogató kulcskompetenciák erősítését szolgáló tevékenységeket. A Felhívás célja Könyvtári rendszer keretén belül az egész életen át tartó tanulás támogatása érdekében a kompetenciafejlesztést, oktatást és a területi ellátást elősegítő infrastruktúra fejlesztése.</w:t>
      </w:r>
    </w:p>
    <w:p w:rsidR="008B4826" w:rsidRDefault="008B4826" w:rsidP="008B48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5B6E09">
        <w:rPr>
          <w:rFonts w:ascii="Times New Roman" w:eastAsia="Times New Roman" w:hAnsi="Times New Roman" w:cs="Times New Roman"/>
          <w:lang w:eastAsia="zh-CN"/>
        </w:rPr>
        <w:t>Kiskőrös Város Önkormányzata a</w:t>
      </w:r>
      <w:r>
        <w:rPr>
          <w:rFonts w:ascii="Times New Roman" w:eastAsia="Times New Roman" w:hAnsi="Times New Roman" w:cs="Times New Roman"/>
          <w:lang w:eastAsia="zh-CN"/>
        </w:rPr>
        <w:t xml:space="preserve">z </w:t>
      </w:r>
      <w:r w:rsidRPr="00AE6DF6">
        <w:rPr>
          <w:rFonts w:ascii="Times New Roman" w:eastAsia="Times New Roman" w:hAnsi="Times New Roman" w:cs="Times New Roman"/>
          <w:b/>
          <w:lang w:eastAsia="zh-CN"/>
        </w:rPr>
        <w:t>EFOP- 4.1.8-16</w:t>
      </w:r>
      <w:r w:rsidRPr="005B6E09">
        <w:rPr>
          <w:rFonts w:ascii="Times New Roman" w:eastAsia="Times New Roman" w:hAnsi="Times New Roman" w:cs="Times New Roman"/>
          <w:lang w:eastAsia="zh-CN"/>
        </w:rPr>
        <w:t xml:space="preserve"> pályázati kiírás tartalmi és formai követelményeit figyelembe véve maximum bruttó 120.000.000 Ft összegű támogatás elnyerése érdekében pályázatot kíván benyújtani, mely összeg elnyerése esetén a </w:t>
      </w:r>
      <w:r w:rsidRPr="005B6E09">
        <w:rPr>
          <w:rFonts w:ascii="Times New Roman" w:eastAsia="Times New Roman" w:hAnsi="Times New Roman" w:cs="Times New Roman"/>
          <w:b/>
          <w:lang w:eastAsia="zh-CN"/>
        </w:rPr>
        <w:t>Petőfi Sándor Városi Könyvtár</w:t>
      </w:r>
      <w:r w:rsidRPr="005B6E09">
        <w:rPr>
          <w:rFonts w:ascii="Times New Roman" w:eastAsia="Times New Roman" w:hAnsi="Times New Roman" w:cs="Times New Roman"/>
          <w:lang w:eastAsia="zh-CN"/>
        </w:rPr>
        <w:t xml:space="preserve"> (6200 Kiskőrös, Petőfi tér 4/b) infrastrukturális fejlesztését</w:t>
      </w:r>
      <w:r w:rsidRPr="005B6E09">
        <w:rPr>
          <w:rFonts w:ascii="Times New Roman" w:eastAsia="Times New Roman" w:hAnsi="Times New Roman" w:cs="Times New Roman"/>
          <w:color w:val="000000"/>
          <w:lang w:eastAsia="zh-CN"/>
        </w:rPr>
        <w:t xml:space="preserve"> valósítja meg.</w:t>
      </w:r>
    </w:p>
    <w:p w:rsidR="008B4826" w:rsidRPr="005B6E09" w:rsidRDefault="008B4826" w:rsidP="008B48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8B4826" w:rsidRPr="00DC2BBD" w:rsidRDefault="008B4826" w:rsidP="008B48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76F23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Az elmúlt év nyarán benyújtásra került</w:t>
      </w:r>
      <w:r w:rsidRPr="00576F23">
        <w:rPr>
          <w:rFonts w:ascii="Times New Roman" w:hAnsi="Times New Roman" w:cs="Times New Roman"/>
        </w:rPr>
        <w:t xml:space="preserve"> a </w:t>
      </w:r>
      <w:r w:rsidRPr="000B1BD4">
        <w:rPr>
          <w:rFonts w:ascii="Times New Roman" w:hAnsi="Times New Roman" w:cs="Times New Roman"/>
          <w:b/>
        </w:rPr>
        <w:t>TOP-5.1.2-16</w:t>
      </w:r>
      <w:r w:rsidRPr="00576F23">
        <w:rPr>
          <w:rFonts w:ascii="Times New Roman" w:hAnsi="Times New Roman" w:cs="Times New Roman"/>
        </w:rPr>
        <w:t xml:space="preserve"> kódszámú </w:t>
      </w:r>
      <w:r w:rsidRPr="000B1BD4">
        <w:rPr>
          <w:rFonts w:ascii="Times New Roman" w:hAnsi="Times New Roman" w:cs="Times New Roman"/>
          <w:b/>
        </w:rPr>
        <w:t>„Helyi foglalkoztatási együttműködések”</w:t>
      </w:r>
      <w:r w:rsidRPr="00576F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című felhívásra Kiskőrös Város Önkormányzata projektjavaslata.</w:t>
      </w:r>
    </w:p>
    <w:p w:rsidR="008B4826" w:rsidRPr="00576F23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F23">
        <w:rPr>
          <w:rFonts w:ascii="Times New Roman" w:hAnsi="Times New Roman" w:cs="Times New Roman"/>
        </w:rPr>
        <w:t xml:space="preserve">A felhívás célja, hogy a helyi szinten létrejövő és/vagy már működő foglalkoztatási együttműködések, partnerségek </w:t>
      </w:r>
      <w:r w:rsidRPr="000B1BD4">
        <w:rPr>
          <w:rFonts w:ascii="Times New Roman" w:hAnsi="Times New Roman" w:cs="Times New Roman"/>
          <w:b/>
        </w:rPr>
        <w:t>(paktumok)</w:t>
      </w:r>
      <w:r w:rsidRPr="00576F23">
        <w:rPr>
          <w:rFonts w:ascii="Times New Roman" w:hAnsi="Times New Roman" w:cs="Times New Roman"/>
        </w:rPr>
        <w:t xml:space="preserve"> hozzájussanak azon forrásokhoz, melyek segítségével – kialakított stratégiájuk mentén – képzési és foglalkoztatási programjaikat megvalósítha</w:t>
      </w:r>
      <w:r>
        <w:rPr>
          <w:rFonts w:ascii="Times New Roman" w:hAnsi="Times New Roman" w:cs="Times New Roman"/>
        </w:rPr>
        <w:t>ss</w:t>
      </w:r>
      <w:r w:rsidRPr="00576F23">
        <w:rPr>
          <w:rFonts w:ascii="Times New Roman" w:hAnsi="Times New Roman" w:cs="Times New Roman"/>
        </w:rPr>
        <w:t>ák.</w:t>
      </w: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F23">
        <w:rPr>
          <w:rFonts w:ascii="Times New Roman" w:hAnsi="Times New Roman" w:cs="Times New Roman"/>
        </w:rPr>
        <w:t xml:space="preserve">A felhívás szerint a </w:t>
      </w:r>
      <w:r>
        <w:rPr>
          <w:rFonts w:ascii="Times New Roman" w:hAnsi="Times New Roman" w:cs="Times New Roman"/>
        </w:rPr>
        <w:t>projekt megvalósítására</w:t>
      </w:r>
      <w:r w:rsidRPr="00576F23">
        <w:rPr>
          <w:rFonts w:ascii="Times New Roman" w:hAnsi="Times New Roman" w:cs="Times New Roman"/>
        </w:rPr>
        <w:t xml:space="preserve"> kizárólag konzorciumi formában van lehetőség. A konzorcium vezetője helyi önkormányzatok és társulásaik, területfejlesztési önkormányzati társulás, megyei kormányhivatal, illetve többségi önkormányzati tulajdonú jogi személy</w:t>
      </w:r>
      <w:r>
        <w:rPr>
          <w:rFonts w:ascii="Times New Roman" w:hAnsi="Times New Roman" w:cs="Times New Roman"/>
        </w:rPr>
        <w:t xml:space="preserve">iségű gazdasági társaság lehet. </w:t>
      </w:r>
      <w:r w:rsidRPr="00576F23">
        <w:rPr>
          <w:rFonts w:ascii="Times New Roman" w:hAnsi="Times New Roman" w:cs="Times New Roman"/>
        </w:rPr>
        <w:t>A konzorciumba kötelező bevonni a megyei kormányhivatalt, illetve amennyiben a konzorcium vezető nem helyi önkormányzat vagy társulás, úgy a projektjavaslat vonatkozásában releváns helyi önkormányzatokat, illetve társulásaikat.</w:t>
      </w:r>
      <w:r>
        <w:rPr>
          <w:rFonts w:ascii="Times New Roman" w:hAnsi="Times New Roman" w:cs="Times New Roman"/>
        </w:rPr>
        <w:t xml:space="preserve"> </w:t>
      </w:r>
      <w:r w:rsidRPr="00576F23">
        <w:rPr>
          <w:rFonts w:ascii="Times New Roman" w:hAnsi="Times New Roman" w:cs="Times New Roman"/>
        </w:rPr>
        <w:t>Munkaerőpiaci programok segítségével a célcsoport képzése, foglalkoztatása (képzési költség támogatása, bértámogatás és bérköltség-támogatás nyújtása) valamint munkaerőpiaci szolgáltatások nyújtása a hatályos jogszabályokkal összhangban, azokra építve: a szolgáltatási tevékenység és díjának megtérítése, Foglalkoztatási megállapodások (paktumok) létrehozása.</w:t>
      </w:r>
    </w:p>
    <w:p w:rsidR="008B4826" w:rsidRDefault="008B4826" w:rsidP="008B4826">
      <w:pPr>
        <w:spacing w:line="240" w:lineRule="auto"/>
        <w:jc w:val="both"/>
        <w:rPr>
          <w:rFonts w:ascii="Times New Roman" w:hAnsi="Times New Roman" w:cs="Times New Roman"/>
        </w:rPr>
      </w:pPr>
    </w:p>
    <w:p w:rsidR="008B4826" w:rsidRDefault="008B4826" w:rsidP="008B4826">
      <w:pPr>
        <w:spacing w:line="240" w:lineRule="auto"/>
        <w:jc w:val="both"/>
        <w:rPr>
          <w:rFonts w:ascii="Times New Roman" w:hAnsi="Times New Roman" w:cs="Times New Roman"/>
        </w:rPr>
      </w:pPr>
      <w:r w:rsidRPr="00E359C6">
        <w:rPr>
          <w:rFonts w:ascii="Times New Roman" w:hAnsi="Times New Roman" w:cs="Times New Roman"/>
        </w:rPr>
        <w:t>A „</w:t>
      </w:r>
      <w:r w:rsidRPr="001A48EB">
        <w:rPr>
          <w:rFonts w:ascii="Times New Roman" w:hAnsi="Times New Roman" w:cs="Times New Roman"/>
          <w:b/>
        </w:rPr>
        <w:t>Csatlakoztatási konstrukció</w:t>
      </w:r>
      <w:r w:rsidRPr="00E359C6">
        <w:rPr>
          <w:rFonts w:ascii="Times New Roman" w:hAnsi="Times New Roman" w:cs="Times New Roman"/>
        </w:rPr>
        <w:t xml:space="preserve"> az önkormányzati </w:t>
      </w:r>
      <w:r w:rsidRPr="001A48EB">
        <w:rPr>
          <w:rFonts w:ascii="Times New Roman" w:hAnsi="Times New Roman" w:cs="Times New Roman"/>
          <w:b/>
        </w:rPr>
        <w:t>ASP</w:t>
      </w:r>
      <w:r w:rsidRPr="00E359C6">
        <w:rPr>
          <w:rFonts w:ascii="Times New Roman" w:hAnsi="Times New Roman" w:cs="Times New Roman"/>
        </w:rPr>
        <w:t xml:space="preserve"> rendszer országos kiterjesztéséhez” című pályázati felhívás az ASP Korm. rendeletben foglalt kötelezettségek végrehajtását támogatja az önkormányzatok számára nyújtott csatlakozási források biztosításával. A felhívás célja az egységesített önkormányzati elektronikus ügyviteli megoldások bevezetése országos szinten, az egyes települési önkormányzatok az önkormányzati ASP központhoz történő csatlakozásának megvalósításával, a felhívásban foglalt feltételek szerint, az önkormányzati ASP központhoz történő csatlakozás során a települési önkormányzatoknál felmerülő egyes feladatok költségeinek támogatására van lehetőség. A támogatás feltétele az ASP Korm. rendeletben foglalt előírások és kötelezettségek betartása, az ott </w:t>
      </w:r>
      <w:r>
        <w:rPr>
          <w:rFonts w:ascii="Times New Roman" w:hAnsi="Times New Roman" w:cs="Times New Roman"/>
        </w:rPr>
        <w:t>rögzített előfeltételek megléte. Kiskőrös Város Önkormányzata az elmúlt évben benyújtotta projektjavaslatát, amely pozitív elbírálásban részesült. A projekt keretében Kiskőrös is csatlakozott az ASP rendszerhez a projekt felhívásban rögzítetteknek megfelelően. A projekt megvalósításához 9 millió Ft európai uniós támogatást nyert el Önkormányzatunk.</w:t>
      </w:r>
    </w:p>
    <w:p w:rsidR="008B4826" w:rsidRDefault="008B4826" w:rsidP="008B482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B4826" w:rsidRPr="00FF46EB" w:rsidRDefault="008B4826" w:rsidP="008B4826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F46EB">
        <w:rPr>
          <w:rFonts w:ascii="Times New Roman" w:hAnsi="Times New Roman" w:cs="Times New Roman"/>
          <w:b/>
        </w:rPr>
        <w:t>Titkársági és gondnoksági csoport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8B4826" w:rsidRDefault="008B4826" w:rsidP="008B482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EB6A6D">
        <w:rPr>
          <w:rFonts w:ascii="Times New Roman" w:hAnsi="Times New Roman" w:cs="Times New Roman"/>
        </w:rPr>
        <w:t>Titkársági és gondnoksági csoportba a polgármesteri titkár, képviselő-testületi referens, személyzeti és humánerőforrás referens, iktató, gondnok, fűtő-karbantartó, takarító I.-II. munkakörök tartoztak 2017 évben. Ez csoport látja el többek között a Képviselő-testületi és Társulási-tanácsi ülések (Kiskőrösi Többcélú Kistérségi Társulás és a Kiskőrös és Térsége Ivóvízminőség-javító Önkormányzati Társulás) adminisztratív feladatait. A képviselő-testület és a társulások határozatainak kivonatozását, rendelet kihirdetését, valamint a Német Nemzetiségi Önkormányzat, Cigány Nemzetiségi Önkormányzat, Szlovák Nemzetiségi Önkormányzat működésének biztosítását, továbbá a polgármester és jegyző napi munkájához kapcsolódó, általuk meghatározott feladatokat, segítik ügyfélfogadásukat, programjaikat. A csoport feladata továbbá a Polgármesteri Hivatal napi működésének technikai feltételeinek megteremtése.</w:t>
      </w:r>
    </w:p>
    <w:p w:rsidR="008B4826" w:rsidRDefault="008B4826" w:rsidP="008B482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B4826" w:rsidRPr="00D51911" w:rsidRDefault="008B4826" w:rsidP="008B4826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51911">
        <w:rPr>
          <w:rFonts w:ascii="Times New Roman" w:hAnsi="Times New Roman" w:cs="Times New Roman"/>
          <w:b/>
          <w:u w:val="single"/>
        </w:rPr>
        <w:t>Informatika</w:t>
      </w:r>
    </w:p>
    <w:p w:rsidR="008B4826" w:rsidRPr="008C62F0" w:rsidRDefault="008B4826" w:rsidP="008B4826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Az önkormányzati ASP rendszerről szóló 257/2016. (VIII.31.) Korm. rendelet 12. § (3) bekezdése alapján 2018. január 1-jéig az önkormányzati ASP (</w:t>
      </w:r>
      <w:r w:rsidRPr="009450B8">
        <w:rPr>
          <w:rFonts w:ascii="Times New Roman" w:hAnsi="Times New Roman" w:cs="Times New Roman"/>
          <w:spacing w:val="2"/>
        </w:rPr>
        <w:t xml:space="preserve">Application Service Provider – alkalmazás-szolgáltató) </w:t>
      </w:r>
      <w:r w:rsidRPr="009450B8">
        <w:rPr>
          <w:rFonts w:ascii="Times New Roman" w:hAnsi="Times New Roman" w:cs="Times New Roman"/>
        </w:rPr>
        <w:t>rendszer valamennyi szakrendszeréhez csatlakozott önkormányzatunk.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Az önkormányzati ASP rendszer szakrendszerei: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iratkezelő rendszer,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önkormányzati települési portál rendszer,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az elektronikus ügyintézési portál rendszer, ideértve az elektronikus űrlap-szolgáltatást,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lastRenderedPageBreak/>
        <w:t>gazdálkodási rendszer,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ingatlanvagyon-kataszter rendszer,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önkormányzati adórendszer,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ipari- és kereskedelmi rendszer,</w:t>
      </w:r>
    </w:p>
    <w:p w:rsidR="008B4826" w:rsidRPr="009450B8" w:rsidRDefault="008B4826" w:rsidP="008B4826">
      <w:pPr>
        <w:pStyle w:val="Listaszerbekezds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hagyatéki leltár rendszer.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szükséges anyagi források biztosítása céljából a Képviselő- testület egyetértett azzal, hogy a beruházás megvalósítása érdekében az Önkormányzat pályázatot nyújtson be a KÖFOP-1.2.1-VEKOP-16 kódszámú „Csatlakoztatási konstrukció az önkormányzati ASP rendszer országos kiterjesztéséhez”</w:t>
      </w:r>
      <w:r w:rsidRPr="009450B8">
        <w:rPr>
          <w:rFonts w:ascii="Times New Roman" w:hAnsi="Times New Roman" w:cs="Times New Roman"/>
          <w:b/>
        </w:rPr>
        <w:t xml:space="preserve"> </w:t>
      </w:r>
      <w:r w:rsidRPr="009450B8">
        <w:rPr>
          <w:rFonts w:ascii="Times New Roman" w:hAnsi="Times New Roman" w:cs="Times New Roman"/>
        </w:rPr>
        <w:t>című pályázati kiírás keretében bruttó 9.000.000,- Ft vissza nem térítendő pályázati forrás elnyerésére, valamint hogy a beruházás megvalósítása érdekében az Önkormányzat saját forrásként további bruttó 2.000.000,-Ft-ot biztosítson a 2017-es évben.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pályázatban vállalt informatikai beruházások és fejlesztések során a számítógépes hálózat központja, valamint a hivatal szerverei és telefonközpontja a padlástérbe kerültek áthelyezésre az optikai hálózat kiépítésével egyidejűleg. Ezáltal a hardver eszközök biztonságos és klimatizált környezetbe történő üzemeltetése várhatóan azok élettartamának, üzemidejének növekedését fogja eredményezni, valamint az eddigi működési terükbe megszűnt a zaj és hőtermelés, ami az ügyintézőknek teremt komfortosabb munkavégzési lehetőséget.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hálózatfejlesztést követően a szakrendszereket használó ASP kompatibilis munkaállomások kerültek cserére (7 darab) és hálózati szkenner funkcióval felszerelt fénymásoló eszközök (2 darab) beszerzése történt meg a pályázati forrásból. Az ASP központba történő bejelentkezés kizárólag elektronikus személyazonosító igazolvánnyal lehetséges, ezért a többi munkaállomás eSZIG olvasására képes kártyaolvasóval lett bővítve.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hardver elemek fejlesztésén túl fokozott jelentőséggel bír a szoftveres vírusvédelmi rendszer erősítése, a munkaállomások szoftvereinek frissítése, a felhasználók oktatása, képzése. A képzések többségét a Magyar Állam Kincstár szervezte, tantermi és e-learning képzések keretében, amelyeken a dolgozók 90%-a (a képzések 2018. első félévében folytatódtak) részt vett.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u w:val="single"/>
        </w:rPr>
      </w:pPr>
    </w:p>
    <w:p w:rsidR="008B4826" w:rsidRPr="00FF46EB" w:rsidRDefault="008B4826" w:rsidP="008B4826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F46EB">
        <w:rPr>
          <w:rFonts w:ascii="Times New Roman" w:hAnsi="Times New Roman" w:cs="Times New Roman"/>
          <w:b/>
          <w:u w:val="single"/>
        </w:rPr>
        <w:t>Közfoglalkoztatás</w:t>
      </w:r>
    </w:p>
    <w:p w:rsidR="008B4826" w:rsidRPr="009450B8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102">
        <w:rPr>
          <w:rFonts w:ascii="Times New Roman" w:hAnsi="Times New Roman" w:cs="Times New Roman"/>
        </w:rPr>
        <w:t>A közfoglalkoztatás célja, hogy a tartósan munkanélkülieket megpróbáljuk visszavezetni a munka világába. A közfoglalkoztatás átmeneti munkalehetőséget biztosít azok számára, akiknek az önálló álláskeresése hosszú ideig eredménytelen. Ez segít a benne résztvevőknek, hogy újra munkára alkalmas állapotba kerüljenek, a munka nélkül töltött idő után ismét hozzászokjanak ahhoz, hogy napi rendszerességgel munkába járnak, dolgoznak. Van arra példa, hogy később a versenyszférában dolgozzanak tovább.</w:t>
      </w:r>
    </w:p>
    <w:p w:rsidR="008B4826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B4826" w:rsidRPr="00666F4E" w:rsidRDefault="008B4826" w:rsidP="008B4826">
      <w:pPr>
        <w:rPr>
          <w:rFonts w:ascii="Times New Roman" w:hAnsi="Times New Roman" w:cs="Times New Roman"/>
          <w:i/>
        </w:rPr>
      </w:pPr>
      <w:r w:rsidRPr="00666F4E">
        <w:rPr>
          <w:rFonts w:ascii="Times New Roman" w:hAnsi="Times New Roman" w:cs="Times New Roman"/>
          <w:b/>
          <w:i/>
          <w:u w:val="single"/>
        </w:rPr>
        <w:t>Belterületi közutak karbantartása</w:t>
      </w:r>
      <w:r w:rsidRPr="00666F4E">
        <w:rPr>
          <w:rFonts w:ascii="Times New Roman" w:hAnsi="Times New Roman" w:cs="Times New Roman"/>
          <w:i/>
        </w:rPr>
        <w:t xml:space="preserve">: 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közúthálózat javításához kapcsolódó projekt célja Kiskőrös város belterületi úthálózat felújítása, javítása, környezetének rendbetétele, karbantartása, ezáltal a baleseti veszélyek csökkentése, valamint járdák kiépítése, felújítása és kerékpárutak felújítása. Kiskőrös Város belterületén közel 40 km hosszú kiépített járdával rendelkezünk. Ezek jelentős része elöregedett, erősen kopott, töredezett, a mai kornak nem megfelelő állapotban van. Megfelelő szakirányítás mellett a közfoglalkoztatottak segítségével jelentős anyagi kiadást lehet megspórolni. Egy biztonságos közlekedést szolgáló járdafelület további fenntartása, tisztítása rövidebb idő alatt, lényegesen kevesebb anyagi ráfordítással megoldható.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2017. évi program során a Batthyány utca, Okolicsányi utca, illetve Liget utca és Damjanich utca sarki részén, nagyságrendileg 1100 méternyi járda kiépítés</w:t>
      </w:r>
      <w:r>
        <w:rPr>
          <w:rFonts w:ascii="Times New Roman" w:hAnsi="Times New Roman" w:cs="Times New Roman"/>
        </w:rPr>
        <w:t>e</w:t>
      </w:r>
      <w:r w:rsidRPr="009450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valósult meg</w:t>
      </w:r>
      <w:r w:rsidRPr="009450B8">
        <w:rPr>
          <w:rFonts w:ascii="Times New Roman" w:hAnsi="Times New Roman" w:cs="Times New Roman"/>
        </w:rPr>
        <w:t>, az elhasználódott járdák tekintetében pedig n</w:t>
      </w:r>
      <w:r>
        <w:rPr>
          <w:rFonts w:ascii="Times New Roman" w:hAnsi="Times New Roman" w:cs="Times New Roman"/>
        </w:rPr>
        <w:t>agyjából 150 méternyi felújítása</w:t>
      </w:r>
      <w:r w:rsidRPr="009450B8">
        <w:rPr>
          <w:rFonts w:ascii="Times New Roman" w:hAnsi="Times New Roman" w:cs="Times New Roman"/>
        </w:rPr>
        <w:t>. A térkövek legyártása a helyi sajátosságokra épülő közfoglalkoztatás keretében kerül legyártásra.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program során Kiskőrös város belterületén nagyságrendileg 20 000 méter úthálózatot</w:t>
      </w:r>
      <w:r>
        <w:rPr>
          <w:rFonts w:ascii="Times New Roman" w:hAnsi="Times New Roman" w:cs="Times New Roman"/>
        </w:rPr>
        <w:t xml:space="preserve"> került megtisztításra</w:t>
      </w:r>
      <w:r w:rsidRPr="009450B8">
        <w:rPr>
          <w:rFonts w:ascii="Times New Roman" w:hAnsi="Times New Roman" w:cs="Times New Roman"/>
        </w:rPr>
        <w:t>, karbantart</w:t>
      </w:r>
      <w:r>
        <w:rPr>
          <w:rFonts w:ascii="Times New Roman" w:hAnsi="Times New Roman" w:cs="Times New Roman"/>
        </w:rPr>
        <w:t>ásra</w:t>
      </w:r>
      <w:r w:rsidRPr="009450B8">
        <w:rPr>
          <w:rFonts w:ascii="Times New Roman" w:hAnsi="Times New Roman" w:cs="Times New Roman"/>
        </w:rPr>
        <w:t>. Ezen úthálózatok karbantartásához szükséges eszközök helyszínre szállításához, útszegélyek, járdaszegélyek megtisztítása során keletkezett nyesedék, felesleges föld elszállításához szükséges gázolaj igénylése beruházási költségként.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Bio- és megújuló energia felhasználás: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bio- és megújuló energiafelhasználás célja a drága gáz kiváltása alternatív fűtési móddal, a fűtőanyag helyi biztosításával és apríték tüzelésű kazánok párhuzamos beállításával. Kiskőrös Város Önkormányzata a KEOP-5.5.0/B/12-2013-0321 kódszámú pályázatot nyert el, melyben aprítékégető kazánok kerültek beépítésre és üzembe helyezésre a Bem József Általános Iskolában (450 kw-os kazán), illetve a Petőfi Sándor Kollégiumban (80 kw-os kazán). a bio- és megújuló energia felhasználása az idei és előző évet tekintve jól működő, hasznos program Kiskőrös Város Önkormányzatának az aprítékoló anyag előállítása és feldolgozása szempontjából. A rendelkezésre álló területek a 2017-es évben szintén főként a laktanya területe és Kiskőrös bel- és külterületi útjai mentén (illetőleg árkok partja). 2017</w:t>
      </w:r>
      <w:r>
        <w:rPr>
          <w:rFonts w:ascii="Times New Roman" w:hAnsi="Times New Roman" w:cs="Times New Roman"/>
        </w:rPr>
        <w:t xml:space="preserve"> évben</w:t>
      </w:r>
      <w:r w:rsidRPr="009450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nagyságrendileg</w:t>
      </w:r>
      <w:r w:rsidRPr="009450B8">
        <w:rPr>
          <w:rFonts w:ascii="Times New Roman" w:hAnsi="Times New Roman" w:cs="Times New Roman"/>
        </w:rPr>
        <w:t xml:space="preserve"> 50.000 négyzetméter megtisztítása </w:t>
      </w:r>
      <w:r>
        <w:rPr>
          <w:rFonts w:ascii="Times New Roman" w:hAnsi="Times New Roman" w:cs="Times New Roman"/>
        </w:rPr>
        <w:t>történt meg.</w:t>
      </w:r>
      <w:r w:rsidRPr="009450B8">
        <w:rPr>
          <w:rFonts w:ascii="Times New Roman" w:hAnsi="Times New Roman" w:cs="Times New Roman"/>
        </w:rPr>
        <w:t xml:space="preserve"> Célunk a laktanya területén feldolgozni a különböző területekről, a bel- és külterületi utak menti területekről beszállított aprítékolni való tüzelőanyagot. A fűtőanyagok letermelését elsősorban Kiskőrös Város laktanyájának területén és Kiskőrös Város bel- és külterületi útjai mentén a dolgozók (14 fő közfoglalkoztatott) túlnyomó részben kézi erővel kitakarítják és begyűjtik a hasznosítható fűtőanyagokat, illetve a már meglévő tüzelőanyagot feldolgozzák. A kazánok működéséhez, a fűtéshez szükséges energiahordozók begyűjtése, feldolgozása a projektbe bevont területekről közfoglalkoztatás keretében valósul meg. Közfoglalkoztatottaink a programba bevont területeken folyamatosan végzik takarítási, és fűtőanyag begyűjtési feladataikat, fás- és lágyszárú gyomnövények levágását, a már meglévő fűtőanyag feldolgozását. Üzemanyagra a feldolgozáshoz szükséges eszközök szállításához, az MTZ 820 lassújármű és a faaprítógép üzemeltetéséhez, Kiskőrös bel- és külterületén összegyűjtött tüzelőanyag laktanyában történő és onnan az érintett kazánok helyszínéhez szállításához, illetve az idei évben, illetve az előző években beszerzett eszközök (sövényvágó gépek, fűkaszák, stihl fűrészek) üzemeltetéséhez elengedhetetlen.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Helyi sajátosságokra épülő közfoglalkoztatás: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helyi sajátosságokra épülő közfoglalkoztatási program során a belterületi közutak karbantartása program során kiépíteni tervezett járdákhoz szükséges térkő és szegélykő legyártására kerül</w:t>
      </w:r>
      <w:r>
        <w:rPr>
          <w:rFonts w:ascii="Times New Roman" w:hAnsi="Times New Roman" w:cs="Times New Roman"/>
        </w:rPr>
        <w:t>t</w:t>
      </w:r>
      <w:r w:rsidRPr="009450B8">
        <w:rPr>
          <w:rFonts w:ascii="Times New Roman" w:hAnsi="Times New Roman" w:cs="Times New Roman"/>
        </w:rPr>
        <w:t xml:space="preserve"> sor. 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térkő és szegélykő gyártása a belterületi közutak karbantartásához kapcsolódó projekt célja Kiskőrös városon belül járdák kiépítése, valamint járdák és kerékpárutak felújítása. Ezek jelentős része elöregedett, erősen kopott, töredezett, a mai kornak nem megfelelő állapotban van. Megfelelő szakirányítás mellett a közfoglalkoztatottak segítségével jelentős anyagi kiadást lehet megspórolni. Egy biztonságos közlekedést szolgáló járdafelület további kiépítése, fenntartása, a térkövek és szegélykövek legyártásával kevesebb anyagi ráfordítással megoldható.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lastRenderedPageBreak/>
        <w:t>A 2017. évi program során a Batthyány utca, Okolicsányi utca, illetve Liget utca és Damjanich utca sarki részén, nagyságrendil</w:t>
      </w:r>
      <w:r>
        <w:rPr>
          <w:rFonts w:ascii="Times New Roman" w:hAnsi="Times New Roman" w:cs="Times New Roman"/>
        </w:rPr>
        <w:t>eg 1100 méternyi járda kiépítése történt meg</w:t>
      </w:r>
      <w:r w:rsidRPr="009450B8">
        <w:rPr>
          <w:rFonts w:ascii="Times New Roman" w:hAnsi="Times New Roman" w:cs="Times New Roman"/>
        </w:rPr>
        <w:t xml:space="preserve"> az elhasználódott járdák tekintetében pedig nagyjából 150 méternyi felújítás</w:t>
      </w:r>
      <w:r>
        <w:rPr>
          <w:rFonts w:ascii="Times New Roman" w:hAnsi="Times New Roman" w:cs="Times New Roman"/>
        </w:rPr>
        <w:t>ra került.</w:t>
      </w:r>
      <w:r w:rsidRPr="009450B8">
        <w:rPr>
          <w:rFonts w:ascii="Times New Roman" w:hAnsi="Times New Roman" w:cs="Times New Roman"/>
        </w:rPr>
        <w:t xml:space="preserve"> 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 xml:space="preserve">Hosszabb időtartamú közfoglalkoztatási program:  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program lényege, hogy Kiskőrös Város Önkormányzata elsősorban a Klebelsberg Intézményfenntartó Központ által fenntartott intézmények közül, a Kiskőrösi Egységes Gyógypedagógiai Módszertani Intézmény, Integrált Óvoda, Általános Iskola, Készségfejlesztő Speciális Szakiskolájában és a Kiskunhalasi Szakképzési Centrum Wattay Szakképző Szakgimnáziuma, Szakközépiskolája és Kollégiumában közfoglalkoztatási program keretében szociális végzettséggel és tapasztalatokkal rendelkező személyeket alkalmaz család, gyermek- és ifjúságvédelmi tevékenységek ellátására (hátrányos helyzetű, elsősorban roma származású tanulók segítése, családokkal való kapcsolattartás, szocializációs hátrányaiknak csökkentése a család-, gyermek- és ifjúságvédelemmel összefüggő közös érdekeiket kifejezve), elsősorban roma származású tanulók segítésére.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Ezek mellett további négy</w:t>
      </w:r>
      <w:r w:rsidRPr="009450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Pr="009450B8">
        <w:rPr>
          <w:rFonts w:ascii="Times New Roman" w:hAnsi="Times New Roman" w:cs="Times New Roman"/>
        </w:rPr>
        <w:t xml:space="preserve">osszabb időtartamú közfoglalkoztatási program valósult meg, melyek célja a természeti és lakókörnyezet tisztántartása, ezen kívül célunk volt a csatornák növényzetének irtása, bozót és fás szárú növényirtás, gallyazás, hulladéklerakó helyek felszámolása, parlagfű mentesítési feladatok, közparkok karbantartása, illetve Kiskőrös Város parkjainak, városközpontjának, városközponti buszmegállójának rendben tartása, település rendezettségének kialakítása. 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A közfoglalkoztatási programok keretein belül többen vettek részt képzéseken. A résztvevők többsége sikeres vizsgát tett. 2017. évben indított képzések: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 xml:space="preserve">Dajka 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Motorfűrész-kezelő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Építő- és anyagmozgató gép kezelője (Targoncavezető)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Konyhai kisegítő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Intézménytakarító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Település karbantartó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Kiskerti növénytermesztő</w:t>
      </w:r>
    </w:p>
    <w:p w:rsidR="008B4826" w:rsidRPr="009450B8" w:rsidRDefault="008B4826" w:rsidP="008B4826">
      <w:pPr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-</w:t>
      </w:r>
      <w:r w:rsidRPr="009450B8">
        <w:rPr>
          <w:rFonts w:ascii="Times New Roman" w:hAnsi="Times New Roman" w:cs="Times New Roman"/>
        </w:rPr>
        <w:tab/>
        <w:t>Zöldterületi kisgép-üzemeltető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Startmunka mintaprogram keretében - Bio- és megújuló energia felhasználása: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2017.03.01. – 2017.12.31. - Közfoglalkoztatottak száma: 15 fő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Startmunka mintaprogram keretében – Belterületi közutak karbantartása: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2017.03.01. – 2018.02.28. - Közfoglalkoztatottak száma: 25 fő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Startmunka mintaprogram keretében – Helyi sajátosságokra épülő közfoglalkoztatás: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2017.03.02. – 2018.02.28. - Közfoglalkoztatottak száma: 15 fő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lastRenderedPageBreak/>
        <w:t>Hosszabb időtartamú közfoglalkoztatás (köznevelési intézményekben alkalmazandó gyermek- és ifjúságvédelmi segítők foglalkoztatása):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2017.03.01. – 2018.02.28. - Közfoglalkoztatottak száma: 14 fő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Hosszabb időtartamú közfoglalkoztatás (köznevelési intézményekben alkalmazandó gyermek- és ifjúságvédelmi segítők foglalkoztatása):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2017.04.20. – 2018.02.28. - Közfoglalkoztatottak száma: 1 fő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Hosszabb időtartamú közfoglalkoztatás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2017.01.01 - 2017.03.31  - Közfoglalkoztatottak száma: 7 fő</w:t>
      </w:r>
    </w:p>
    <w:p w:rsidR="008B4826" w:rsidRPr="009450B8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Hosszabb időtartamú közfoglalkoztatás</w:t>
      </w:r>
    </w:p>
    <w:p w:rsidR="008B4826" w:rsidRDefault="008B4826" w:rsidP="008B4826">
      <w:pPr>
        <w:jc w:val="both"/>
        <w:rPr>
          <w:rFonts w:ascii="Times New Roman" w:hAnsi="Times New Roman" w:cs="Times New Roman"/>
        </w:rPr>
      </w:pPr>
      <w:r w:rsidRPr="009450B8">
        <w:rPr>
          <w:rFonts w:ascii="Times New Roman" w:hAnsi="Times New Roman" w:cs="Times New Roman"/>
        </w:rPr>
        <w:t>2017.01.11 - 2017.03.31  - Közfoglalkoztatottak száma: 8 fő</w:t>
      </w:r>
    </w:p>
    <w:p w:rsidR="008B4826" w:rsidRPr="00FF46EB" w:rsidRDefault="008B4826" w:rsidP="008B4826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K</w:t>
      </w:r>
      <w:r w:rsidRPr="00FF46EB">
        <w:rPr>
          <w:rFonts w:ascii="Times New Roman" w:eastAsia="Calibri" w:hAnsi="Times New Roman" w:cs="Times New Roman"/>
          <w:b/>
          <w:u w:val="single"/>
        </w:rPr>
        <w:t>épviselő-testület és Társulási tanács működése: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8B4826" w:rsidRPr="00FF46EB" w:rsidRDefault="008B4826" w:rsidP="008B48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FF46EB">
        <w:rPr>
          <w:rFonts w:ascii="Times New Roman" w:hAnsi="Times New Roman" w:cs="Times New Roman"/>
          <w:b/>
          <w:bCs/>
          <w:color w:val="000000"/>
        </w:rPr>
        <w:t>201</w:t>
      </w:r>
      <w:r>
        <w:rPr>
          <w:rFonts w:ascii="Times New Roman" w:hAnsi="Times New Roman" w:cs="Times New Roman"/>
          <w:b/>
          <w:bCs/>
          <w:color w:val="000000"/>
        </w:rPr>
        <w:t>7</w:t>
      </w:r>
      <w:r w:rsidRPr="00FF46EB">
        <w:rPr>
          <w:rFonts w:ascii="Times New Roman" w:hAnsi="Times New Roman" w:cs="Times New Roman"/>
          <w:b/>
          <w:bCs/>
          <w:color w:val="000000"/>
        </w:rPr>
        <w:t>. évi képviselő-testületi ülések</w:t>
      </w: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Képviselő-testületi ülések száma összesen: </w:t>
      </w:r>
      <w:r>
        <w:rPr>
          <w:rFonts w:ascii="Times New Roman" w:hAnsi="Times New Roman" w:cs="Times New Roman"/>
          <w:color w:val="000000"/>
        </w:rPr>
        <w:t>18</w:t>
      </w:r>
    </w:p>
    <w:p w:rsidR="008B4826" w:rsidRPr="00FF46EB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>Közmeghallgatás: 1</w:t>
      </w: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Képviselő-testületi határozatok száma: </w:t>
      </w:r>
      <w:r>
        <w:rPr>
          <w:rFonts w:ascii="Times New Roman" w:hAnsi="Times New Roman" w:cs="Times New Roman"/>
          <w:color w:val="000000"/>
        </w:rPr>
        <w:t>202</w:t>
      </w:r>
    </w:p>
    <w:p w:rsidR="008B4826" w:rsidRPr="00FF46EB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>Rendeletek száma: 2</w:t>
      </w:r>
      <w:r>
        <w:rPr>
          <w:rFonts w:ascii="Times New Roman" w:hAnsi="Times New Roman" w:cs="Times New Roman"/>
          <w:color w:val="000000"/>
        </w:rPr>
        <w:t>5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C92C34">
        <w:rPr>
          <w:rFonts w:ascii="Times New Roman" w:hAnsi="Times New Roman" w:cs="Times New Roman"/>
          <w:b/>
          <w:color w:val="000000"/>
        </w:rPr>
        <w:t>2017. évi</w:t>
      </w:r>
      <w:r w:rsidRPr="00C92C34">
        <w:rPr>
          <w:rFonts w:ascii="Times New Roman" w:hAnsi="Times New Roman" w:cs="Times New Roman"/>
          <w:b/>
        </w:rPr>
        <w:t xml:space="preserve"> </w:t>
      </w:r>
      <w:r w:rsidRPr="00C92C34">
        <w:rPr>
          <w:rFonts w:ascii="Times New Roman" w:hAnsi="Times New Roman" w:cs="Times New Roman"/>
          <w:b/>
          <w:color w:val="000000"/>
        </w:rPr>
        <w:t>Kiskőrösi Többcélú Kistérségi Társulás ülések</w:t>
      </w: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C92C34">
        <w:rPr>
          <w:rFonts w:ascii="Times New Roman" w:hAnsi="Times New Roman" w:cs="Times New Roman"/>
          <w:color w:val="000000"/>
        </w:rPr>
        <w:t xml:space="preserve">Társulási-tanács ülések száma: 9 </w:t>
      </w: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C92C34">
        <w:rPr>
          <w:rFonts w:ascii="Times New Roman" w:hAnsi="Times New Roman" w:cs="Times New Roman"/>
          <w:color w:val="000000"/>
        </w:rPr>
        <w:t>Társulási-tanács határozatok száma: 20</w:t>
      </w: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C92C34">
        <w:rPr>
          <w:rFonts w:ascii="Times New Roman" w:hAnsi="Times New Roman" w:cs="Times New Roman"/>
          <w:b/>
          <w:color w:val="000000"/>
        </w:rPr>
        <w:t>2017. évi Kiskőrös és Térsége Ivóvízminőség-javító Önkormányzati Társulás ülések</w:t>
      </w:r>
      <w:r w:rsidRPr="00C92C34">
        <w:rPr>
          <w:rFonts w:ascii="Times New Roman" w:hAnsi="Times New Roman" w:cs="Times New Roman"/>
          <w:color w:val="000000"/>
        </w:rPr>
        <w:t xml:space="preserve"> </w:t>
      </w:r>
    </w:p>
    <w:p w:rsidR="008B4826" w:rsidRPr="00C92C34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C92C34">
        <w:rPr>
          <w:rFonts w:ascii="Times New Roman" w:hAnsi="Times New Roman" w:cs="Times New Roman"/>
          <w:color w:val="000000"/>
        </w:rPr>
        <w:t xml:space="preserve">Társulási-tanács ülések száma: 6 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C92C34">
        <w:rPr>
          <w:rFonts w:ascii="Times New Roman" w:hAnsi="Times New Roman" w:cs="Times New Roman"/>
          <w:color w:val="000000"/>
        </w:rPr>
        <w:t>Társulási-tanács határozatok száma: 10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FF46EB">
        <w:rPr>
          <w:rFonts w:ascii="Times New Roman" w:hAnsi="Times New Roman" w:cs="Times New Roman"/>
          <w:b/>
          <w:color w:val="000000"/>
        </w:rPr>
        <w:t>Nemzetiségi Önkormányzatok</w:t>
      </w:r>
      <w:r>
        <w:rPr>
          <w:rFonts w:ascii="Times New Roman" w:hAnsi="Times New Roman" w:cs="Times New Roman"/>
          <w:b/>
          <w:color w:val="000000"/>
        </w:rPr>
        <w:t xml:space="preserve"> 2017. évi ülései 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Szlovák Nemzetiségi Önkormányzat üléseinek száma: </w:t>
      </w:r>
      <w:r>
        <w:rPr>
          <w:rFonts w:ascii="Times New Roman" w:hAnsi="Times New Roman" w:cs="Times New Roman"/>
          <w:color w:val="000000"/>
        </w:rPr>
        <w:t>9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>Szlovák Nemzetiségi Önkormányzat közmeghallgatások száma: 1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Szlovák Nemzetiségi Önkormányzat határozatainak száma: </w:t>
      </w:r>
      <w:r>
        <w:rPr>
          <w:rFonts w:ascii="Times New Roman" w:hAnsi="Times New Roman" w:cs="Times New Roman"/>
          <w:color w:val="000000"/>
        </w:rPr>
        <w:t>60</w:t>
      </w:r>
    </w:p>
    <w:p w:rsidR="008B4826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Német Nemzetiségi Önkormányzat üléseinek száma: </w:t>
      </w:r>
      <w:r>
        <w:rPr>
          <w:rFonts w:ascii="Times New Roman" w:hAnsi="Times New Roman" w:cs="Times New Roman"/>
          <w:color w:val="000000"/>
        </w:rPr>
        <w:t>6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>Német Nemzetiségi Önkormányzat közmeghallgatások száma: 1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>Német Nemzetiségi Önkor</w:t>
      </w:r>
      <w:r>
        <w:rPr>
          <w:rFonts w:ascii="Times New Roman" w:hAnsi="Times New Roman" w:cs="Times New Roman"/>
          <w:color w:val="000000"/>
        </w:rPr>
        <w:t>mányzat határozatainak száma: 45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Cigány Nemzetiségi Önkormányzat üléseinek száma: </w:t>
      </w:r>
      <w:r>
        <w:rPr>
          <w:rFonts w:ascii="Times New Roman" w:hAnsi="Times New Roman" w:cs="Times New Roman"/>
          <w:color w:val="000000"/>
        </w:rPr>
        <w:t>10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>Cigány Nemzetiségi Önkormányzat közmeghallgatások száma: 1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color w:val="000000"/>
        </w:rPr>
        <w:t xml:space="preserve">Cigány Nemzetiségi Önkormányzat határozatainak száma: </w:t>
      </w:r>
      <w:r>
        <w:rPr>
          <w:rFonts w:ascii="Times New Roman" w:hAnsi="Times New Roman" w:cs="Times New Roman"/>
          <w:color w:val="000000"/>
        </w:rPr>
        <w:t>27</w:t>
      </w:r>
    </w:p>
    <w:p w:rsidR="008B4826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highlight w:val="green"/>
          <w:u w:val="single"/>
        </w:rPr>
      </w:pPr>
    </w:p>
    <w:p w:rsidR="008B4826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highlight w:val="green"/>
          <w:u w:val="single"/>
        </w:rPr>
      </w:pPr>
    </w:p>
    <w:p w:rsidR="008B4826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highlight w:val="green"/>
          <w:u w:val="single"/>
        </w:rPr>
      </w:pPr>
    </w:p>
    <w:p w:rsidR="008B4826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highlight w:val="green"/>
          <w:u w:val="single"/>
        </w:rPr>
      </w:pPr>
    </w:p>
    <w:p w:rsidR="008B4826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highlight w:val="green"/>
          <w:u w:val="single"/>
        </w:rPr>
      </w:pPr>
    </w:p>
    <w:p w:rsidR="003359DA" w:rsidRDefault="003359DA" w:rsidP="00961504">
      <w:pP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:rsidR="008B4826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u w:val="single"/>
        </w:rPr>
      </w:pPr>
      <w:r w:rsidRPr="00C66737">
        <w:rPr>
          <w:rFonts w:ascii="Times New Roman" w:hAnsi="Times New Roman" w:cs="Times New Roman"/>
          <w:color w:val="000000"/>
          <w:u w:val="single"/>
        </w:rPr>
        <w:lastRenderedPageBreak/>
        <w:t>Kiskőrös Város Képviselő-testülete és a nemzetiségi önkormányzatok képviselő-testületeinek 2017. évi munkáját bemutató diagram: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</w:p>
    <w:p w:rsidR="008B4826" w:rsidRPr="00987BF5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u w:val="single"/>
        </w:rPr>
      </w:pPr>
    </w:p>
    <w:p w:rsidR="008B4826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noProof/>
          <w:color w:val="000000"/>
          <w:lang w:eastAsia="hu-HU"/>
        </w:rPr>
        <w:drawing>
          <wp:inline distT="0" distB="0" distL="0" distR="0" wp14:anchorId="2E35C4A4" wp14:editId="5FC59461">
            <wp:extent cx="5591175" cy="4410075"/>
            <wp:effectExtent l="0" t="0" r="9525" b="9525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FF46EB">
        <w:rPr>
          <w:rFonts w:ascii="Times New Roman" w:hAnsi="Times New Roman" w:cs="Times New Roman"/>
          <w:b/>
          <w:color w:val="000000"/>
          <w:u w:val="single"/>
        </w:rPr>
        <w:t>Bizottságok munkája</w:t>
      </w:r>
    </w:p>
    <w:p w:rsidR="008B4826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8B4826" w:rsidRPr="00E1715A" w:rsidRDefault="008B4826" w:rsidP="008B4826">
      <w:pPr>
        <w:spacing w:after="160" w:line="259" w:lineRule="auto"/>
        <w:rPr>
          <w:rFonts w:ascii="Times New Roman" w:eastAsia="Calibri" w:hAnsi="Times New Roman" w:cs="Times New Roman"/>
          <w:b/>
          <w:u w:val="single"/>
        </w:rPr>
      </w:pPr>
      <w:r w:rsidRPr="00E1715A">
        <w:rPr>
          <w:rFonts w:ascii="Times New Roman" w:eastAsia="Calibri" w:hAnsi="Times New Roman" w:cs="Times New Roman"/>
          <w:b/>
          <w:u w:val="single"/>
        </w:rPr>
        <w:t>Művelődési, közoktatási és Sport Bizottság</w:t>
      </w:r>
    </w:p>
    <w:p w:rsidR="008B4826" w:rsidRPr="00E1715A" w:rsidRDefault="008B4826" w:rsidP="008B4826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üléseinek száma: </w:t>
      </w:r>
      <w:r w:rsidRPr="00E1715A">
        <w:rPr>
          <w:rFonts w:ascii="Times New Roman" w:eastAsia="Calibri" w:hAnsi="Times New Roman" w:cs="Times New Roman"/>
        </w:rPr>
        <w:tab/>
        <w:t>22 db</w:t>
      </w:r>
    </w:p>
    <w:p w:rsidR="008B4826" w:rsidRPr="00E1715A" w:rsidRDefault="008B4826" w:rsidP="008B4826">
      <w:pPr>
        <w:numPr>
          <w:ilvl w:val="0"/>
          <w:numId w:val="11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határozatok száma: </w:t>
      </w:r>
      <w:r w:rsidRPr="00E1715A">
        <w:rPr>
          <w:rFonts w:ascii="Times New Roman" w:eastAsia="Calibri" w:hAnsi="Times New Roman" w:cs="Times New Roman"/>
        </w:rPr>
        <w:tab/>
        <w:t>129 db</w:t>
      </w:r>
    </w:p>
    <w:p w:rsidR="008B4826" w:rsidRPr="00E1715A" w:rsidRDefault="008B4826" w:rsidP="008B4826">
      <w:pPr>
        <w:spacing w:after="160" w:line="259" w:lineRule="auto"/>
        <w:rPr>
          <w:rFonts w:ascii="Times New Roman" w:eastAsia="Calibri" w:hAnsi="Times New Roman" w:cs="Times New Roman"/>
          <w:b/>
          <w:u w:val="single"/>
        </w:rPr>
      </w:pPr>
      <w:r w:rsidRPr="00E1715A">
        <w:rPr>
          <w:rFonts w:ascii="Times New Roman" w:eastAsia="Calibri" w:hAnsi="Times New Roman" w:cs="Times New Roman"/>
          <w:b/>
          <w:u w:val="single"/>
        </w:rPr>
        <w:t>Egészségügyi és Szociálpolitikai Bizottság</w:t>
      </w:r>
    </w:p>
    <w:p w:rsidR="008B4826" w:rsidRPr="00E1715A" w:rsidRDefault="008B4826" w:rsidP="008B4826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üléseinek száma: </w:t>
      </w:r>
      <w:r w:rsidRPr="00E1715A">
        <w:rPr>
          <w:rFonts w:ascii="Times New Roman" w:eastAsia="Calibri" w:hAnsi="Times New Roman" w:cs="Times New Roman"/>
        </w:rPr>
        <w:tab/>
        <w:t>22 db</w:t>
      </w:r>
    </w:p>
    <w:p w:rsidR="008B4826" w:rsidRPr="00E1715A" w:rsidRDefault="008B4826" w:rsidP="008B4826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határozatok száma: </w:t>
      </w:r>
      <w:r w:rsidRPr="00E1715A">
        <w:rPr>
          <w:rFonts w:ascii="Times New Roman" w:eastAsia="Calibri" w:hAnsi="Times New Roman" w:cs="Times New Roman"/>
        </w:rPr>
        <w:tab/>
        <w:t>106 db</w:t>
      </w:r>
    </w:p>
    <w:p w:rsidR="008B4826" w:rsidRPr="00E1715A" w:rsidRDefault="008B4826" w:rsidP="008B4826">
      <w:pPr>
        <w:spacing w:after="160" w:line="259" w:lineRule="auto"/>
        <w:rPr>
          <w:rFonts w:ascii="Times New Roman" w:eastAsia="Calibri" w:hAnsi="Times New Roman" w:cs="Times New Roman"/>
          <w:b/>
          <w:u w:val="single"/>
        </w:rPr>
      </w:pPr>
      <w:r w:rsidRPr="00E1715A">
        <w:rPr>
          <w:rFonts w:ascii="Times New Roman" w:eastAsia="Calibri" w:hAnsi="Times New Roman" w:cs="Times New Roman"/>
          <w:b/>
          <w:u w:val="single"/>
        </w:rPr>
        <w:t>Pénzügyi Bizottság</w:t>
      </w:r>
    </w:p>
    <w:p w:rsidR="008B4826" w:rsidRPr="00E1715A" w:rsidRDefault="008B4826" w:rsidP="008B4826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üléseinek száma: </w:t>
      </w:r>
      <w:r w:rsidRPr="00E1715A">
        <w:rPr>
          <w:rFonts w:ascii="Times New Roman" w:eastAsia="Calibri" w:hAnsi="Times New Roman" w:cs="Times New Roman"/>
        </w:rPr>
        <w:tab/>
        <w:t>19 db</w:t>
      </w:r>
    </w:p>
    <w:p w:rsidR="008B4826" w:rsidRPr="00E1715A" w:rsidRDefault="008B4826" w:rsidP="008B4826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határozatok száma: </w:t>
      </w:r>
      <w:r w:rsidRPr="00E1715A">
        <w:rPr>
          <w:rFonts w:ascii="Times New Roman" w:eastAsia="Calibri" w:hAnsi="Times New Roman" w:cs="Times New Roman"/>
        </w:rPr>
        <w:tab/>
        <w:t>35 db</w:t>
      </w:r>
    </w:p>
    <w:p w:rsidR="008B4826" w:rsidRPr="00E1715A" w:rsidRDefault="008B4826" w:rsidP="008B4826">
      <w:pPr>
        <w:spacing w:after="160" w:line="259" w:lineRule="auto"/>
        <w:rPr>
          <w:rFonts w:ascii="Times New Roman" w:eastAsia="Calibri" w:hAnsi="Times New Roman" w:cs="Times New Roman"/>
          <w:b/>
          <w:u w:val="single"/>
        </w:rPr>
      </w:pPr>
      <w:r w:rsidRPr="00E1715A">
        <w:rPr>
          <w:rFonts w:ascii="Times New Roman" w:eastAsia="Calibri" w:hAnsi="Times New Roman" w:cs="Times New Roman"/>
          <w:b/>
          <w:u w:val="single"/>
        </w:rPr>
        <w:t>Költségvetési, Városfejlesztési és Mezőgazdasági Bizottság</w:t>
      </w:r>
    </w:p>
    <w:p w:rsidR="008B4826" w:rsidRPr="00E1715A" w:rsidRDefault="008B4826" w:rsidP="008B482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üléseinek száma: </w:t>
      </w:r>
      <w:r w:rsidRPr="00E1715A">
        <w:rPr>
          <w:rFonts w:ascii="Times New Roman" w:eastAsia="Calibri" w:hAnsi="Times New Roman" w:cs="Times New Roman"/>
        </w:rPr>
        <w:tab/>
        <w:t xml:space="preserve"> 19 db</w:t>
      </w:r>
    </w:p>
    <w:p w:rsidR="008B4826" w:rsidRPr="00E1715A" w:rsidRDefault="008B4826" w:rsidP="008B4826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határozatok száma: </w:t>
      </w:r>
      <w:r w:rsidRPr="00E1715A">
        <w:rPr>
          <w:rFonts w:ascii="Times New Roman" w:eastAsia="Calibri" w:hAnsi="Times New Roman" w:cs="Times New Roman"/>
        </w:rPr>
        <w:tab/>
        <w:t xml:space="preserve"> 68 db</w:t>
      </w:r>
    </w:p>
    <w:p w:rsidR="008B4826" w:rsidRPr="00E1715A" w:rsidRDefault="008B4826" w:rsidP="008B4826">
      <w:pPr>
        <w:spacing w:after="160" w:line="259" w:lineRule="auto"/>
        <w:rPr>
          <w:rFonts w:ascii="Times New Roman" w:eastAsia="Calibri" w:hAnsi="Times New Roman" w:cs="Times New Roman"/>
          <w:b/>
          <w:u w:val="single"/>
        </w:rPr>
      </w:pPr>
      <w:r w:rsidRPr="00E1715A">
        <w:rPr>
          <w:rFonts w:ascii="Times New Roman" w:eastAsia="Calibri" w:hAnsi="Times New Roman" w:cs="Times New Roman"/>
          <w:b/>
          <w:u w:val="single"/>
        </w:rPr>
        <w:t>Ügyrendi és Összeférhetetlenségi Bizottság</w:t>
      </w:r>
    </w:p>
    <w:p w:rsidR="008B4826" w:rsidRPr="00E1715A" w:rsidRDefault="008B4826" w:rsidP="008B482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üléseinek száma: </w:t>
      </w:r>
      <w:r w:rsidRPr="00E1715A">
        <w:rPr>
          <w:rFonts w:ascii="Times New Roman" w:eastAsia="Calibri" w:hAnsi="Times New Roman" w:cs="Times New Roman"/>
        </w:rPr>
        <w:tab/>
        <w:t>19 db</w:t>
      </w:r>
    </w:p>
    <w:p w:rsidR="008B4826" w:rsidRPr="00E1715A" w:rsidRDefault="008B4826" w:rsidP="008B4826">
      <w:pPr>
        <w:numPr>
          <w:ilvl w:val="0"/>
          <w:numId w:val="8"/>
        </w:numPr>
        <w:spacing w:after="160" w:line="259" w:lineRule="auto"/>
        <w:contextualSpacing/>
        <w:rPr>
          <w:rFonts w:ascii="Times New Roman" w:eastAsia="Calibri" w:hAnsi="Times New Roman" w:cs="Times New Roman"/>
        </w:rPr>
      </w:pPr>
      <w:r w:rsidRPr="00E1715A">
        <w:rPr>
          <w:rFonts w:ascii="Times New Roman" w:eastAsia="Calibri" w:hAnsi="Times New Roman" w:cs="Times New Roman"/>
        </w:rPr>
        <w:t xml:space="preserve">határozatok száma: </w:t>
      </w:r>
      <w:r w:rsidRPr="00E1715A">
        <w:rPr>
          <w:rFonts w:ascii="Times New Roman" w:eastAsia="Calibri" w:hAnsi="Times New Roman" w:cs="Times New Roman"/>
        </w:rPr>
        <w:tab/>
        <w:t>96 db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8B4826" w:rsidRPr="00FF46EB" w:rsidRDefault="008B4826" w:rsidP="008B4826">
      <w:pPr>
        <w:spacing w:after="0" w:line="240" w:lineRule="auto"/>
        <w:ind w:left="360"/>
        <w:jc w:val="center"/>
        <w:rPr>
          <w:rFonts w:ascii="Times New Roman" w:hAnsi="Times New Roman" w:cs="Times New Roman"/>
          <w:u w:val="single"/>
        </w:rPr>
      </w:pPr>
      <w:r w:rsidRPr="004765E8">
        <w:rPr>
          <w:rFonts w:ascii="Times New Roman" w:hAnsi="Times New Roman" w:cs="Times New Roman"/>
          <w:u w:val="single"/>
        </w:rPr>
        <w:lastRenderedPageBreak/>
        <w:t>Bizottságok 2017. évi munkáját bemutató diagram</w:t>
      </w:r>
    </w:p>
    <w:p w:rsidR="008B4826" w:rsidRPr="00FF46EB" w:rsidRDefault="008B4826" w:rsidP="008B4826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8B4826" w:rsidRPr="00FF46EB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FF46EB">
        <w:rPr>
          <w:rFonts w:ascii="Times New Roman" w:hAnsi="Times New Roman" w:cs="Times New Roman"/>
          <w:noProof/>
          <w:color w:val="000000"/>
          <w:lang w:eastAsia="hu-HU"/>
        </w:rPr>
        <w:drawing>
          <wp:inline distT="0" distB="0" distL="0" distR="0" wp14:anchorId="39DA2E0C" wp14:editId="02254FEA">
            <wp:extent cx="5486400" cy="3200400"/>
            <wp:effectExtent l="0" t="0" r="19050" b="19050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4826" w:rsidRPr="00FF46EB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FF46EB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44712F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44712F">
        <w:rPr>
          <w:rFonts w:ascii="Times New Roman" w:hAnsi="Times New Roman" w:cs="Times New Roman"/>
          <w:color w:val="000000"/>
        </w:rPr>
        <w:t xml:space="preserve">A postázási feladatokat a Hivatal iktató ügyintézője végzi, amely magába foglalja többek között a beérkező ajánlott és egyéb postai levél-, illetve csomagküldemények átvételét. A postáról a kiküldött levelek visszaigazolásait, a tértivevényeket, az iktatási ügyintéző osztja szét ügyintézők részére. A kiküldendő levelek, csomagok, gyorspostai, illetve külföldi küldemények nyilvántartásba kerülnek, postakönyvbe vételre. A iktató iktatási feladatokat végez. Az iktató az ügyiratok iktatását iktatóprogram használatával végzi. Feladata: Beérkezett postai levelek iktatása, az ügyintézők által kért előzményi iratok keresése, dokumentáltan történő kiadása, visszavételezése. Leadott iratanyagok egyeztetése, rendszerezése, valamint a selejtezések elvégzése (jegyzőkönyvkészítése, Levéltárral történő engedélyeztetése). A kimenő iratok iktatását az ügyintézők végzik.  </w:t>
      </w:r>
    </w:p>
    <w:p w:rsidR="008B4826" w:rsidRPr="0044712F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44712F">
        <w:rPr>
          <w:rFonts w:ascii="Times New Roman" w:hAnsi="Times New Roman" w:cs="Times New Roman"/>
          <w:color w:val="000000"/>
        </w:rPr>
        <w:t>Az iktatás mennyiségét jól tükrözi, hogy 2017. évben 5.483 db főszám és 33.859 db alszám iktatás történt.</w:t>
      </w: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B4826" w:rsidRPr="0044712F" w:rsidRDefault="008B4826" w:rsidP="008B482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961504" w:rsidRDefault="00961504" w:rsidP="008B4826">
      <w:pPr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</w:p>
    <w:p w:rsidR="008B4826" w:rsidRPr="00FF46EB" w:rsidRDefault="008B4826" w:rsidP="008B4826">
      <w:pPr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 w:rsidRPr="0044712F">
        <w:rPr>
          <w:rFonts w:ascii="Times New Roman" w:hAnsi="Times New Roman" w:cs="Times New Roman"/>
          <w:color w:val="000000"/>
          <w:u w:val="single"/>
        </w:rPr>
        <w:lastRenderedPageBreak/>
        <w:t>A 2017. évben iktatott ügyiratok számát ágazati bontásban az alábbi táblázat tartalmazza</w:t>
      </w: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6349"/>
        <w:gridCol w:w="1134"/>
        <w:gridCol w:w="1134"/>
        <w:gridCol w:w="1134"/>
      </w:tblGrid>
      <w:tr w:rsidR="008B4826" w:rsidRPr="00AE738B" w:rsidTr="005B1481">
        <w:trPr>
          <w:trHeight w:hRule="exact" w:val="454"/>
          <w:jc w:val="center"/>
        </w:trPr>
        <w:tc>
          <w:tcPr>
            <w:tcW w:w="68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2" w:right="3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Ágazat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Sorszámra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95" w:lineRule="auto"/>
              <w:ind w:left="146" w:right="119" w:firstLine="12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Gyűjtőív sorszámára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Alszámra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68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76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Iktatott iratok száma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33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Pénzügyek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8" w:right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1954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16407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96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 xml:space="preserve">Ebből:    </w:t>
            </w:r>
            <w:r w:rsidRPr="00AE738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AE738B">
              <w:rPr>
                <w:rFonts w:ascii="Arial" w:hAnsi="Arial" w:cs="Arial"/>
                <w:sz w:val="16"/>
                <w:szCs w:val="16"/>
              </w:rPr>
              <w:t>1. Adóigazgatási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2. Egyéb pénzügyek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8" w:right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1944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15916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491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3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Egészségügyi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37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Szociális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33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Környezetvédelmi, építési ügyek, településrendezés, területrendezés kommunális igazg.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955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3973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96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 xml:space="preserve">Ebből:    </w:t>
            </w:r>
            <w:r w:rsidRPr="00AE738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AE738B">
              <w:rPr>
                <w:rFonts w:ascii="Arial" w:hAnsi="Arial" w:cs="Arial"/>
                <w:sz w:val="16"/>
                <w:szCs w:val="16"/>
              </w:rPr>
              <w:t>1. Környezet- és természetvédelem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2. Településrendezés, területrendezés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3. Építési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4. Kommunális ügyek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904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3720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7" w:right="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Közlekedés és hírközlési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4"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Vízügyi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77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Önkormányzati, igazságügyi és rendészeti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823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4466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96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 xml:space="preserve">Ebből:    </w:t>
            </w:r>
            <w:r w:rsidRPr="00AE738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AE738B">
              <w:rPr>
                <w:rFonts w:ascii="Arial" w:hAnsi="Arial" w:cs="Arial"/>
                <w:sz w:val="16"/>
                <w:szCs w:val="16"/>
              </w:rPr>
              <w:t>1. Anyakönyvi és állampolgársági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2. A polgárok személyi adatainak, lakcímének nyilvántartásával kapcsolatos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3. Választásokkal kapcsolatos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4. Rendőrségi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5. A helyi tűzvédelemmel kapcsolatos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6. Menedékjogi ügyek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7. Igazságügyi igazgatás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8. Egyéb igazgatási ügyek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1245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342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0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2825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64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Lakásügyek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46" w:right="1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Gyermekvédelmi és gyámügyi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1305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33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Ipari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Kereskedelmi igazgatás, turisztika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0"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Földművelésügy, állat- és növény-egészségügyi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Munkaügyi igazgatás, munkavédelem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Önkormányzati és általános igazgatási ügyek összesen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859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5449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96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 xml:space="preserve">Ebből:    </w:t>
            </w:r>
            <w:r w:rsidRPr="00AE738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AE738B">
              <w:rPr>
                <w:rFonts w:ascii="Arial" w:hAnsi="Arial" w:cs="Arial"/>
                <w:sz w:val="16"/>
                <w:szCs w:val="16"/>
              </w:rPr>
              <w:t>1. Képviselő-testület iratai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2. Nemzetiségi önkormányzat iratai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3. Az önkormányzati hivatalnak, polgármesteri hivatalnak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93" w:right="3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354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5092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3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P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Köznevelési és közművelődésügyi igazgatás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9" w:right="3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473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28" w:right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Sportügyek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33" w:right="1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Honvédelmi, katasztrófavédelmi igazgatás, fegyveres biztonsági őrség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43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96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 xml:space="preserve">Ebből:    </w:t>
            </w:r>
            <w:r w:rsidRPr="00AE738B">
              <w:rPr>
                <w:rFonts w:ascii="Arial" w:hAnsi="Arial" w:cs="Arial"/>
                <w:spacing w:val="33"/>
                <w:sz w:val="16"/>
                <w:szCs w:val="16"/>
              </w:rPr>
              <w:t xml:space="preserve"> </w:t>
            </w:r>
            <w:r w:rsidRPr="00AE738B">
              <w:rPr>
                <w:rFonts w:ascii="Arial" w:hAnsi="Arial" w:cs="Arial"/>
                <w:sz w:val="16"/>
                <w:szCs w:val="16"/>
              </w:rPr>
              <w:t>1. Honvédelmi igazgatás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Arial" w:hAnsi="Arial" w:cs="Arial"/>
                <w:sz w:val="16"/>
                <w:szCs w:val="16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2. Katasztrófavédelmi igazgatás</w:t>
            </w:r>
          </w:p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04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3. Fegyveres biztonsági őrség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37" w:right="4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2" w:right="4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488" w:right="4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0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506" w:right="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B4826" w:rsidRPr="00AE738B" w:rsidTr="005B1481">
        <w:trPr>
          <w:trHeight w:hRule="exact" w:val="227"/>
          <w:jc w:val="center"/>
        </w:trPr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828" w:right="28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Mindösszesen: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8" w:right="3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5483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505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8B4826" w:rsidRPr="00AE738B" w:rsidRDefault="008B4826" w:rsidP="005B148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AE738B">
              <w:rPr>
                <w:rFonts w:ascii="Arial" w:hAnsi="Arial" w:cs="Arial"/>
                <w:sz w:val="16"/>
                <w:szCs w:val="16"/>
              </w:rPr>
              <w:t>33859</w:t>
            </w:r>
          </w:p>
        </w:tc>
      </w:tr>
    </w:tbl>
    <w:p w:rsidR="008B4826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4826" w:rsidRPr="00FF46EB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  <w:r w:rsidRPr="00B4485C">
        <w:rPr>
          <w:rFonts w:ascii="Times New Roman" w:eastAsia="Calibri" w:hAnsi="Times New Roman" w:cs="Times New Roman"/>
          <w:b/>
          <w:color w:val="000000"/>
          <w:u w:val="single"/>
        </w:rPr>
        <w:t>201</w:t>
      </w:r>
      <w:r>
        <w:rPr>
          <w:rFonts w:ascii="Times New Roman" w:eastAsia="Calibri" w:hAnsi="Times New Roman" w:cs="Times New Roman"/>
          <w:b/>
          <w:color w:val="000000"/>
          <w:u w:val="single"/>
        </w:rPr>
        <w:t>7</w:t>
      </w:r>
      <w:r w:rsidRPr="00B4485C">
        <w:rPr>
          <w:rFonts w:ascii="Times New Roman" w:eastAsia="Calibri" w:hAnsi="Times New Roman" w:cs="Times New Roman"/>
          <w:b/>
          <w:color w:val="000000"/>
          <w:u w:val="single"/>
        </w:rPr>
        <w:t>. évi városi ünnepségek és rendezvények</w:t>
      </w: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8B4826" w:rsidRPr="001C6F41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1C6F41">
        <w:rPr>
          <w:rFonts w:ascii="Times New Roman" w:eastAsia="Calibri" w:hAnsi="Times New Roman" w:cs="Times New Roman"/>
          <w:b/>
          <w:color w:val="000000"/>
        </w:rPr>
        <w:t>2017. évi városi ünnepségek és rendezvények</w:t>
      </w:r>
    </w:p>
    <w:p w:rsidR="008B4826" w:rsidRPr="001C6F41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1C6F41">
        <w:rPr>
          <w:rFonts w:ascii="Times New Roman" w:eastAsia="Calibri" w:hAnsi="Times New Roman" w:cs="Times New Roman"/>
          <w:lang w:eastAsia="hu-HU"/>
        </w:rPr>
        <w:t>2017. évi városi ünnepségekről és rendezvényekről szóló 189/2016. számú képviselő-testületi határozat mellékletében foglaltak szerint Kiskőrös Város Önkormányzatának nagyszabású rendezvényei: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:rsidR="008B4826" w:rsidRPr="001C6F41" w:rsidRDefault="008B4826" w:rsidP="008B482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bCs/>
          <w:lang w:eastAsia="hu-HU"/>
        </w:rPr>
        <w:t>2017. március 15. A</w:t>
      </w:r>
      <w:r w:rsidRPr="001C6F41">
        <w:rPr>
          <w:rFonts w:ascii="Times New Roman" w:eastAsia="Times New Roman" w:hAnsi="Times New Roman" w:cs="Times New Roman"/>
          <w:bCs/>
          <w:iCs/>
          <w:lang w:eastAsia="hu-HU"/>
        </w:rPr>
        <w:t>z 1848-as forradalom és szabadságharc 169. évfordulója</w:t>
      </w:r>
    </w:p>
    <w:p w:rsidR="008B4826" w:rsidRPr="001C6F41" w:rsidRDefault="008B4826" w:rsidP="008B482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bCs/>
          <w:lang w:eastAsia="hu-HU"/>
        </w:rPr>
        <w:t>2017. május 20-21.</w:t>
      </w:r>
      <w:r w:rsidRPr="001C6F41">
        <w:rPr>
          <w:rFonts w:ascii="Times New Roman" w:eastAsia="Times New Roman" w:hAnsi="Times New Roman" w:cs="Times New Roman"/>
          <w:bCs/>
          <w:iCs/>
          <w:lang w:eastAsia="hu-HU"/>
        </w:rPr>
        <w:t xml:space="preserve">Városalapítók Napja Országos Rétes Fesztivál </w:t>
      </w:r>
    </w:p>
    <w:p w:rsidR="008B4826" w:rsidRPr="001C6F41" w:rsidRDefault="008B4826" w:rsidP="008B482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bCs/>
          <w:lang w:eastAsia="hu-HU"/>
        </w:rPr>
        <w:t xml:space="preserve">2017. szeptember 1-3. </w:t>
      </w:r>
      <w:r w:rsidRPr="001C6F41">
        <w:rPr>
          <w:rFonts w:ascii="Times New Roman" w:eastAsia="Times New Roman" w:hAnsi="Times New Roman" w:cs="Times New Roman"/>
          <w:bCs/>
          <w:iCs/>
          <w:lang w:eastAsia="hu-HU"/>
        </w:rPr>
        <w:t xml:space="preserve">Kiskőrösi Szüret és Szlovák Nemzetiségi Napok </w:t>
      </w:r>
    </w:p>
    <w:p w:rsidR="008B4826" w:rsidRPr="001C6F41" w:rsidRDefault="008B4826" w:rsidP="008B482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bCs/>
          <w:lang w:eastAsia="hu-HU"/>
        </w:rPr>
        <w:t>2017. december 15–22. Adventi ünnepi hét</w:t>
      </w:r>
    </w:p>
    <w:p w:rsidR="008B4826" w:rsidRPr="001C6F41" w:rsidRDefault="008B4826" w:rsidP="008B4826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bCs/>
          <w:lang w:eastAsia="hu-HU"/>
        </w:rPr>
        <w:t xml:space="preserve">2017. december 31. </w:t>
      </w:r>
      <w:r w:rsidRPr="001C6F41">
        <w:rPr>
          <w:rFonts w:ascii="Times New Roman" w:eastAsia="Times New Roman" w:hAnsi="Times New Roman" w:cs="Times New Roman"/>
          <w:lang w:eastAsia="hu-HU"/>
        </w:rPr>
        <w:t>„</w:t>
      </w:r>
      <w:r w:rsidRPr="001C6F41">
        <w:rPr>
          <w:rFonts w:ascii="Times New Roman" w:eastAsia="Times New Roman" w:hAnsi="Times New Roman" w:cs="Times New Roman"/>
          <w:bCs/>
          <w:iCs/>
          <w:lang w:eastAsia="hu-HU"/>
        </w:rPr>
        <w:t>Petőfi Szilveszter”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1C6F41">
        <w:rPr>
          <w:rFonts w:ascii="Times New Roman" w:eastAsia="Times New Roman" w:hAnsi="Times New Roman" w:cs="Times New Roman"/>
          <w:b/>
          <w:bCs/>
          <w:lang w:eastAsia="hu-HU"/>
        </w:rPr>
        <w:t xml:space="preserve">2017. március 15. </w:t>
      </w:r>
      <w:r w:rsidRPr="001C6F41">
        <w:rPr>
          <w:rFonts w:ascii="Times New Roman" w:eastAsia="Times New Roman" w:hAnsi="Times New Roman" w:cs="Times New Roman"/>
          <w:b/>
          <w:bCs/>
          <w:iCs/>
          <w:lang w:eastAsia="hu-HU"/>
        </w:rPr>
        <w:t>Az 1848-as forradalom és szabadságharc 169. évfordulója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Pr="001C6F41" w:rsidRDefault="008B4826" w:rsidP="008B4826">
      <w:pPr>
        <w:spacing w:line="240" w:lineRule="auto"/>
        <w:jc w:val="both"/>
        <w:rPr>
          <w:rFonts w:ascii="Times New Roman" w:hAnsi="Times New Roman" w:cs="Times New Roman"/>
        </w:rPr>
      </w:pPr>
      <w:r w:rsidRPr="001C6F41">
        <w:rPr>
          <w:rFonts w:ascii="Times New Roman" w:hAnsi="Times New Roman" w:cs="Times New Roman"/>
        </w:rPr>
        <w:t xml:space="preserve">Kiskőrösön koszorúzással vette kezdetét az 1848-49-es forradalom és szabadságharc emlékére rendezett ünnepi megemlékezések sora: a Batthyány-emléktáblánál helyezte el a tisztelet és az emlékezés koszorúit </w:t>
      </w:r>
      <w:r w:rsidRPr="001C6F41">
        <w:rPr>
          <w:rFonts w:ascii="Times New Roman" w:hAnsi="Times New Roman" w:cs="Times New Roman"/>
          <w:b/>
          <w:i/>
        </w:rPr>
        <w:t>Domonyi László</w:t>
      </w:r>
      <w:r w:rsidRPr="001C6F41">
        <w:rPr>
          <w:rFonts w:ascii="Times New Roman" w:hAnsi="Times New Roman" w:cs="Times New Roman"/>
        </w:rPr>
        <w:t xml:space="preserve"> polgármester és </w:t>
      </w:r>
      <w:r w:rsidRPr="001C6F41">
        <w:rPr>
          <w:rFonts w:ascii="Times New Roman" w:hAnsi="Times New Roman" w:cs="Times New Roman"/>
          <w:b/>
          <w:i/>
        </w:rPr>
        <w:t>Pohankovics András</w:t>
      </w:r>
      <w:r w:rsidRPr="001C6F41">
        <w:rPr>
          <w:rFonts w:ascii="Times New Roman" w:hAnsi="Times New Roman" w:cs="Times New Roman"/>
        </w:rPr>
        <w:t xml:space="preserve"> alpolgármester. Ezt követően rangos önkormányzati elismerések átadására került sor a Városháza dísztermében. A díjátadó ünnepség fényét a SZÓ-LA-M zeneiskola növendéke, Nagy Viktória éneke, valamint </w:t>
      </w:r>
      <w:r w:rsidRPr="001C6F41">
        <w:rPr>
          <w:rFonts w:ascii="Times New Roman" w:hAnsi="Times New Roman" w:cs="Times New Roman"/>
          <w:b/>
          <w:i/>
        </w:rPr>
        <w:t>Péczka Fatime</w:t>
      </w:r>
      <w:r w:rsidRPr="001C6F41">
        <w:rPr>
          <w:rFonts w:ascii="Times New Roman" w:hAnsi="Times New Roman" w:cs="Times New Roman"/>
        </w:rPr>
        <w:t xml:space="preserve"> szavalata emelte.</w:t>
      </w:r>
    </w:p>
    <w:p w:rsidR="008B4826" w:rsidRPr="001C6F41" w:rsidRDefault="008B4826" w:rsidP="008B4826">
      <w:pPr>
        <w:spacing w:line="240" w:lineRule="auto"/>
        <w:jc w:val="both"/>
        <w:rPr>
          <w:rFonts w:ascii="Times New Roman" w:hAnsi="Times New Roman" w:cs="Times New Roman"/>
        </w:rPr>
      </w:pPr>
      <w:r w:rsidRPr="001C6F41">
        <w:rPr>
          <w:rFonts w:ascii="Times New Roman" w:hAnsi="Times New Roman" w:cs="Times New Roman"/>
        </w:rPr>
        <w:t xml:space="preserve">Ebben az évben a művelődési központ adott otthont az ünnepi megemlékezésnek, amelyet Kiskőrös Város Fúvószenekara nyitott meg, majd </w:t>
      </w:r>
      <w:r w:rsidRPr="001C6F41">
        <w:rPr>
          <w:rFonts w:ascii="Times New Roman" w:hAnsi="Times New Roman" w:cs="Times New Roman"/>
          <w:b/>
          <w:i/>
        </w:rPr>
        <w:t>Font Sándor országgyűlési képviselő</w:t>
      </w:r>
      <w:r w:rsidRPr="001C6F41">
        <w:rPr>
          <w:rFonts w:ascii="Times New Roman" w:hAnsi="Times New Roman" w:cs="Times New Roman"/>
        </w:rPr>
        <w:t xml:space="preserve"> mondta el ünnepi beszédét, amelyben hangsúlyozta a szabadság fontosságát. Ezt követően a </w:t>
      </w:r>
      <w:r w:rsidRPr="001C6F41">
        <w:rPr>
          <w:rFonts w:ascii="Times New Roman" w:hAnsi="Times New Roman" w:cs="Times New Roman"/>
          <w:i/>
        </w:rPr>
        <w:t>Petőfi Sándor Általános Iskola</w:t>
      </w:r>
      <w:r w:rsidRPr="001C6F41">
        <w:rPr>
          <w:rFonts w:ascii="Times New Roman" w:hAnsi="Times New Roman" w:cs="Times New Roman"/>
        </w:rPr>
        <w:t xml:space="preserve"> diákjainak irodalmi műsorát tekinthette meg a közönség, majd az ünnep méltó zárásaként a helyi önkormányzat és a járási hivatal vezetői, a nemzetiségi önkormányzatok és a pártok képviselői, az intézmények vezetői koszorúkat helyeztek el az 1848-49-es forradalom és szabadságharc kiemelkedő alakjai: Petőfi Sándor, Bem József, Jókai Mór és Kossuth Lajos szobránál, valamint Petőfi Sándor szülőházánál.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1C6F41">
        <w:rPr>
          <w:rFonts w:ascii="Times New Roman" w:eastAsia="Times New Roman" w:hAnsi="Times New Roman" w:cs="Times New Roman"/>
          <w:b/>
          <w:bCs/>
          <w:lang w:eastAsia="hu-HU"/>
        </w:rPr>
        <w:t>2017. május 20-21.</w:t>
      </w:r>
      <w:r w:rsidRPr="001C6F41">
        <w:rPr>
          <w:rFonts w:ascii="Times New Roman" w:eastAsia="Times New Roman" w:hAnsi="Times New Roman" w:cs="Times New Roman"/>
          <w:b/>
          <w:bCs/>
          <w:iCs/>
          <w:lang w:eastAsia="hu-HU"/>
        </w:rPr>
        <w:t xml:space="preserve">Városalapítók Napja Országos Rétes Fesztivál </w:t>
      </w:r>
    </w:p>
    <w:p w:rsidR="008B4826" w:rsidRPr="001C6F41" w:rsidRDefault="008B4826" w:rsidP="008B482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C6F41">
        <w:rPr>
          <w:rFonts w:ascii="Times New Roman" w:eastAsia="Calibri" w:hAnsi="Times New Roman" w:cs="Times New Roman"/>
        </w:rPr>
        <w:t>Városalapítók Napja 2001 óta az Országos Rétes fesztivál 18 éve minden esztendőben megrendezésre kerül, s ezzel szép hagyomány teremtődött, melyre vigyáznunk kell, tovább kell örökíteni gyermekeinknek, unokáinknak. Át kell adni az ősöktől kapott tudást és a jövőbe vetített szép reményeket, hogy városunk tovább virágozzon. A rendezvényjelentős részben hozzájárul a közösségi tudat megőrzéséhez, az önértékeit tisztelő, sokszínűségét megtartó kiskőrösi közösség megerősödéséhez.</w:t>
      </w:r>
      <w:r w:rsidRPr="001C6F41">
        <w:rPr>
          <w:rFonts w:ascii="Times New Roman" w:eastAsia="Calibri" w:hAnsi="Times New Roman" w:cs="Times New Roman"/>
          <w:shd w:val="clear" w:color="auto" w:fill="FFFFFF"/>
        </w:rPr>
        <w:t xml:space="preserve"> Az esemény hivatalos megnyitójára</w:t>
      </w:r>
      <w:r w:rsidRPr="001C6F41">
        <w:rPr>
          <w:rFonts w:ascii="Times New Roman" w:eastAsia="Calibri" w:hAnsi="Times New Roman" w:cs="Times New Roman"/>
        </w:rPr>
        <w:t xml:space="preserve"> a Petőfi Sándor tér szabadtéri színpadán és ezt követően</w:t>
      </w:r>
      <w:r w:rsidRPr="001C6F41">
        <w:rPr>
          <w:rFonts w:ascii="Times New Roman" w:eastAsia="Calibri" w:hAnsi="Times New Roman" w:cs="Times New Roman"/>
          <w:shd w:val="clear" w:color="auto" w:fill="FFFFFF"/>
        </w:rPr>
        <w:t xml:space="preserve"> a Városházánál a Wattay dombormű ünnepélyes megkoszorúzására</w:t>
      </w:r>
      <w:r w:rsidRPr="001C6F41">
        <w:rPr>
          <w:rFonts w:ascii="Times New Roman" w:eastAsia="Calibri" w:hAnsi="Times New Roman" w:cs="Times New Roman"/>
        </w:rPr>
        <w:t xml:space="preserve"> került sor</w:t>
      </w:r>
      <w:r w:rsidRPr="001C6F41">
        <w:rPr>
          <w:rFonts w:ascii="Times New Roman" w:eastAsia="Calibri" w:hAnsi="Times New Roman" w:cs="Times New Roman"/>
          <w:shd w:val="clear" w:color="auto" w:fill="FFFFFF"/>
        </w:rPr>
        <w:t>. A hagyományőrzés jegyében került megrendezésre, hiszen az ország minden tájáról érkeznek rétes készítő asszonyok, hogy bemutassák az évszázados múltra visszatekintő, rétes készítő hagyományukat.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C6F41">
        <w:rPr>
          <w:rFonts w:ascii="Times New Roman" w:eastAsia="Calibri" w:hAnsi="Times New Roman" w:cs="Times New Roman"/>
          <w:shd w:val="clear" w:color="auto" w:fill="FFFFFF"/>
        </w:rPr>
        <w:t xml:space="preserve">A változatos színpadi és kísérő programoknak köszönhetően a kicsiktől a nagyokig minden korosztály számára igazi kikapcsolódást nyújtott az Országos Rétes- és Gasztronómia Fesztivál. Két napon át a hagyományos kézműves kiállítók mellett, gasztronómiai termékek, pálinkaházak, és borászatok is képviseltették magukat. A színpadi programokat illetően a helyi és környékbeli vendégelőadók műsorai táncbemutatók, mazsorett – bemutató, gyermekelőadások és folklór produkciók tették színessé a Petőfi téren felállított színpadot.  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hu-HU"/>
        </w:rPr>
      </w:pPr>
      <w:r w:rsidRPr="001C6F41">
        <w:rPr>
          <w:rFonts w:ascii="Times New Roman" w:eastAsia="Times New Roman" w:hAnsi="Times New Roman" w:cs="Times New Roman"/>
          <w:b/>
          <w:bCs/>
          <w:iCs/>
          <w:lang w:eastAsia="hu-HU"/>
        </w:rPr>
        <w:t>Kiskőrösi Szüret és Szlovák Nemzetiségi Napok 2017.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1C6F41" w:rsidRDefault="008B4826" w:rsidP="008B48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 xml:space="preserve">A 2017. szeptember első hétvégéjén megrendezett Kiskőrösi Szüret és Szlovák Nemzetiségi Napok több mint egy évtizedes múltra tekint vissza, a programok 1992 óta a vendégek tömegeit vonzzák a városba. 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>A háromnapos rendezvényen a szlovák hagyományőrző együttesek mellett a látogatók színvonalas hazai fellépők koncertjeiből is választhattak. Ebben az évben is kiemelt szerepet kaptak a kiskőrösi borok: városunkból és a környező településekről 20 borászat mutatkozott be. A Sztrapacska Udvar varázsa évről évre a legfinomabb szlovák ételkülönlegességeit kínálja a gasztronómia iránt érdeklődőknek. A rendezvény hangulatát az esti koncertek a díszes szüreti felvonulás, tűzijáték tette még ünnepibbé. Kiskőrös testvérvárosainak delegációi is (köztük Hollandia, Finnország, Lengyelország, Szlovákia, Románia, Németország) megtisztelték jelenlétükkel a rendezvényt.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>A város legnagyobb rendezvénye nemcsak a kiskőrösiek igényeit elégíti ki, nemcsak a kulturális tevékenységet folytató civil szervezetek munkáját segíti, s teremt az itteni fiatalok számára sport- és egyéb lehetőségeket, de a szervező Kiskőrös Város Önkormányzata kitűzött céljai között szerepel az is, hogy a kulináris élvezeteket kedvelő, Kiskőrösre látogató belföldi és külföldi vendégek száma évről évre gyarapodjon. A szlovák hagyományőrző együttesek mellett helyet kaptak a modern kor amatőr és profi művészeti együttesei ugyanúgy, mint a hagyományos borászati eszközök és a legújabb borászati technológiával készült kiváló minőségű, könnyű alföldi borok. A programokat elsősorban az évszázadok során kialakult helyi gyümölcs-, szőlő- és borkultúra, valamint a városalapító szlo</w:t>
      </w:r>
      <w:r>
        <w:rPr>
          <w:rFonts w:ascii="Times New Roman" w:eastAsia="Times New Roman" w:hAnsi="Times New Roman" w:cs="Times New Roman"/>
          <w:lang w:eastAsia="hu-HU"/>
        </w:rPr>
        <w:t>vákság legnemesebb értékei köré.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C6F41">
        <w:rPr>
          <w:rFonts w:ascii="Times New Roman" w:eastAsia="Times New Roman" w:hAnsi="Times New Roman" w:cs="Times New Roman"/>
          <w:b/>
          <w:bCs/>
          <w:lang w:eastAsia="hu-HU"/>
        </w:rPr>
        <w:t>2017. december 15–22. Adventi hét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b/>
          <w:lang w:eastAsia="hu-HU"/>
        </w:rPr>
        <w:t>Adventi vásár</w:t>
      </w:r>
      <w:r w:rsidRPr="001C6F41">
        <w:rPr>
          <w:rFonts w:ascii="Times New Roman" w:eastAsia="Times New Roman" w:hAnsi="Times New Roman" w:cs="Times New Roman"/>
          <w:lang w:eastAsia="hu-HU"/>
        </w:rPr>
        <w:t xml:space="preserve"> a város meghatározó rendezvénysorozata évek óta, melyen a népi és a keresztény hagyományok őrzése, a karácsony ünnepére való ráhangolódás jegyében szívesen töltik együtt, közösségben az idejüket Kiskőrös polgárai. 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6F41">
        <w:rPr>
          <w:rFonts w:ascii="Times New Roman" w:hAnsi="Times New Roman" w:cs="Times New Roman"/>
        </w:rPr>
        <w:t xml:space="preserve">December 15-én elkezdődött a Kiskőrösi advent rendezvénysorozata. A Petőfi téren az adventi koszorú mellett az életnagyságú, szemet gyönyörködtető betlehem és a díszektől roskadozó, csillogó-villogó karácsonyfa is várta csodálóit, a finomabbnál finomabb, melengető ételeket-italokat kínáló faházak pedig vendégeiket. 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6F41">
        <w:rPr>
          <w:rFonts w:ascii="Times New Roman" w:hAnsi="Times New Roman" w:cs="Times New Roman"/>
        </w:rPr>
        <w:t xml:space="preserve">A művelődési házban a gyerekeket pénteken és szombaton kézműves foglalkozásra várták. A Petőfi téren december 22-ig minden este kulturális csemegékkel is megkínálták látogatóikat a város alapítványai, egyesületei, civil szervezetei, s faházaiknál az általunk nemesnek ítélt célra adakozhattunk, segítve egymást, s hitet tenni amellett, hogy adni, s jónak lenni jó. 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u-HU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C6F41">
        <w:rPr>
          <w:rFonts w:ascii="Times New Roman" w:eastAsia="Times New Roman" w:hAnsi="Times New Roman" w:cs="Times New Roman"/>
          <w:b/>
          <w:bCs/>
          <w:lang w:eastAsia="hu-HU"/>
        </w:rPr>
        <w:t xml:space="preserve">2017. december 31. </w:t>
      </w:r>
      <w:r w:rsidRPr="001C6F41">
        <w:rPr>
          <w:rFonts w:ascii="Times New Roman" w:eastAsia="Times New Roman" w:hAnsi="Times New Roman" w:cs="Times New Roman"/>
          <w:b/>
          <w:lang w:eastAsia="hu-HU"/>
        </w:rPr>
        <w:t>„</w:t>
      </w:r>
      <w:r w:rsidRPr="001C6F41">
        <w:rPr>
          <w:rFonts w:ascii="Times New Roman" w:eastAsia="Times New Roman" w:hAnsi="Times New Roman" w:cs="Times New Roman"/>
          <w:b/>
          <w:bCs/>
          <w:iCs/>
          <w:lang w:eastAsia="hu-HU"/>
        </w:rPr>
        <w:t>Petőfi Szilveszter”</w:t>
      </w: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Pr="001C6F4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 xml:space="preserve">A hagyományos </w:t>
      </w:r>
      <w:r w:rsidRPr="001C6F41">
        <w:rPr>
          <w:rFonts w:ascii="Times New Roman" w:eastAsia="Times New Roman" w:hAnsi="Times New Roman" w:cs="Times New Roman"/>
          <w:i/>
          <w:lang w:eastAsia="hu-HU"/>
        </w:rPr>
        <w:t>Petőfi-szilveszter</w:t>
      </w:r>
      <w:r w:rsidRPr="001C6F41">
        <w:rPr>
          <w:rFonts w:ascii="Times New Roman" w:eastAsia="Times New Roman" w:hAnsi="Times New Roman" w:cs="Times New Roman"/>
          <w:lang w:eastAsia="hu-HU"/>
        </w:rPr>
        <w:t xml:space="preserve"> sok vendéget vonzott vidékről is városunkba. A Petőfivel egy napon született gyerekeknek Domonyi László polgármester ünnepélyes keretek között adta át a névre szóló Petőfi-köteteket. </w:t>
      </w:r>
    </w:p>
    <w:p w:rsidR="008B4826" w:rsidRPr="001C6F41" w:rsidRDefault="008B4826" w:rsidP="008B4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>A délután folyamán a múzeumban dr. Feledy Balázs művészettörténész nyitotta meg „Mily igen szeretlek téged, s őt is veled.”(Arany) című pályázatra érkezett képzőművészeti alkotásokból nyíló kiállítás.</w:t>
      </w:r>
    </w:p>
    <w:p w:rsidR="008B4826" w:rsidRPr="001C6F41" w:rsidRDefault="008B4826" w:rsidP="008B4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 xml:space="preserve">A Szilveszter Társulat a </w:t>
      </w:r>
      <w:r w:rsidRPr="001C6F41">
        <w:rPr>
          <w:rFonts w:ascii="Times New Roman" w:eastAsia="Calibri" w:hAnsi="Times New Roman" w:cs="Times New Roman"/>
          <w:bCs/>
        </w:rPr>
        <w:t>Szigligeti Ede: Házassági három parancs vígjátékával</w:t>
      </w:r>
      <w:r w:rsidRPr="001C6F41">
        <w:rPr>
          <w:rFonts w:ascii="Times New Roman" w:eastAsia="Calibri" w:hAnsi="Times New Roman" w:cs="Times New Roman"/>
          <w:b/>
          <w:bCs/>
        </w:rPr>
        <w:t xml:space="preserve"> </w:t>
      </w:r>
      <w:r w:rsidRPr="001C6F41">
        <w:rPr>
          <w:rFonts w:ascii="Times New Roman" w:eastAsia="Times New Roman" w:hAnsi="Times New Roman" w:cs="Times New Roman"/>
          <w:lang w:eastAsia="hu-HU"/>
        </w:rPr>
        <w:t>búcsúzott az óévtől, a kétszeresen is telt házas előadást Supka Éva rendezésében mutatták be.</w:t>
      </w:r>
    </w:p>
    <w:p w:rsidR="008B4826" w:rsidRPr="001C6F41" w:rsidRDefault="008B4826" w:rsidP="008B4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u-HU"/>
        </w:rPr>
      </w:pPr>
      <w:r w:rsidRPr="001C6F41">
        <w:rPr>
          <w:rFonts w:ascii="Times New Roman" w:eastAsia="Times New Roman" w:hAnsi="Times New Roman" w:cs="Times New Roman"/>
          <w:lang w:eastAsia="hu-HU"/>
        </w:rPr>
        <w:t xml:space="preserve">Éjfélkor a szülőház előtt emlékeztek meg városunk szülöttéről, ahol </w:t>
      </w:r>
      <w:r w:rsidRPr="001C6F41">
        <w:rPr>
          <w:rFonts w:ascii="Times New Roman" w:eastAsia="Calibri" w:hAnsi="Times New Roman" w:cs="Times New Roman"/>
        </w:rPr>
        <w:t>Dr. Szilágyi Judit irodalomtörténész</w:t>
      </w:r>
      <w:r w:rsidRPr="001C6F41">
        <w:rPr>
          <w:rFonts w:ascii="Times New Roman" w:eastAsia="Times New Roman" w:hAnsi="Times New Roman" w:cs="Times New Roman"/>
          <w:lang w:eastAsia="hu-HU"/>
        </w:rPr>
        <w:t xml:space="preserve"> ünnepi köszöntője után Domonyi László polgármester hagyományos serleges fogadalomtétele hangzott el. </w:t>
      </w:r>
    </w:p>
    <w:p w:rsidR="008B4826" w:rsidRPr="001C6F41" w:rsidRDefault="008B4826" w:rsidP="008B48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u-HU"/>
        </w:rPr>
      </w:pPr>
      <w:r w:rsidRPr="001C6F41">
        <w:rPr>
          <w:rFonts w:ascii="Times New Roman" w:eastAsia="Times New Roman" w:hAnsi="Times New Roman" w:cs="Times New Roman"/>
          <w:bCs/>
          <w:bdr w:val="none" w:sz="0" w:space="0" w:color="auto" w:frame="1"/>
          <w:lang w:eastAsia="hu-HU"/>
        </w:rPr>
        <w:t>A hagyományokhoz hűen az ünneplők elmentek az evangélikus templomba, ahol Lupták György esperes évkezdő áldása után tekintették</w:t>
      </w:r>
      <w:r w:rsidRPr="001C6F41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hu-HU"/>
        </w:rPr>
        <w:t xml:space="preserve"> meg az eredeti - 1823-as - keresztelési anyakönyvet Alexander Petrovics bejegyzéssel.</w:t>
      </w:r>
    </w:p>
    <w:p w:rsidR="008B4826" w:rsidRPr="001C6F41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u w:val="single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826" w:rsidRPr="00AC3912" w:rsidRDefault="008B4826" w:rsidP="008B48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912">
        <w:rPr>
          <w:rFonts w:ascii="Times New Roman" w:hAnsi="Times New Roman" w:cs="Times New Roman"/>
          <w:b/>
        </w:rPr>
        <w:t>Közigazgatási Osztály</w:t>
      </w:r>
    </w:p>
    <w:p w:rsidR="008B4826" w:rsidRPr="00AC3912" w:rsidRDefault="008B4826" w:rsidP="008B4826">
      <w:pPr>
        <w:pStyle w:val="Listaszerbekezds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912">
        <w:rPr>
          <w:rFonts w:ascii="Times New Roman" w:hAnsi="Times New Roman" w:cs="Times New Roman"/>
          <w:b/>
        </w:rPr>
        <w:t>Szociális és igazgatási csoport</w:t>
      </w:r>
    </w:p>
    <w:p w:rsidR="008B4826" w:rsidRPr="00AC3912" w:rsidRDefault="008B4826" w:rsidP="008B4826">
      <w:pPr>
        <w:pStyle w:val="Listaszerbekezds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C3912">
        <w:rPr>
          <w:rFonts w:ascii="Times New Roman" w:hAnsi="Times New Roman" w:cs="Times New Roman"/>
          <w:b/>
        </w:rPr>
        <w:t>Igazgatási feladatok</w:t>
      </w:r>
    </w:p>
    <w:p w:rsidR="008B4826" w:rsidRPr="00AC3912" w:rsidRDefault="008B4826" w:rsidP="008B482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A Közigazgatási Osztály feladatkörébe az általános igazgatási, adóigazgatási, építéshatósági, szociális igazgatási, gyermekjóléti alapellátási és anyakönyvi feladatok tartoznak.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jegyző általános igazgatási feladatai többek között – kereskedelmi engedélyek, telepengedélyezés, állatvédelem, állattartás, szálláshely-szolgáltatási engedélyek, zaj- és rezgésvédelem, panaszok, közérdekű bejelentések vizsgálata, vásár- és piac tartásának engedélyezése, zenés táncos rendezvények engedélyezése, talált dolgokkal kapcsolatos feladatok, környezetvédelmi ügyek, hulladékgazdálkodás, méhészeti tevékenység bejelentése, hatósági bizonyítványok kiadása, szolgáltatás-felügyelet, birtokvédelem, termőföldek adás-vételével, ill. haszonbérletével összefüggő kifüggesztési feladatok ellátása valamint a hagyatéki ügyintézői feladatok és a címkezeléssel kapcsolatos feladatok.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AD71F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D71F1">
        <w:rPr>
          <w:rFonts w:ascii="Times New Roman" w:eastAsia="Times New Roman" w:hAnsi="Times New Roman" w:cs="Times New Roman"/>
          <w:b/>
          <w:u w:val="single"/>
          <w:lang w:eastAsia="hu-HU"/>
        </w:rPr>
        <w:t>A 2017. évben intézett, a lakosság legszélesebb körét érintő ügyek: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telepengedélyezés: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19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kereskedelmi üzletek működésének engedélyezése: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188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szálláshely-szolgáltatás engedélyezése: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2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Kiskőrös közigazgatási területére bejelentkezett méhészek száma: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47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birtokvédelmi ügyek: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4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lastRenderedPageBreak/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termőföld adásvételi, ill. haszonbérleti szerződések kifüggesztése: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204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-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társasházak törvényességi felügyeleti eljárása: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 xml:space="preserve">2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-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megőrzésre átadott talált tárgyak: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8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hagyatéki, póthagyatéki ügyek száma: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268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-          címkezeléssel kapcsolatos ügyek száma: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67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   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Az anyakönyvi eljárás során végzett feladatok, ügy</w:t>
      </w:r>
      <w:r>
        <w:rPr>
          <w:rFonts w:ascii="Times New Roman" w:eastAsia="Times New Roman" w:hAnsi="Times New Roman" w:cs="Times New Roman"/>
          <w:lang w:eastAsia="hu-HU"/>
        </w:rPr>
        <w:t>ek száma típusonként</w:t>
      </w:r>
      <w:r w:rsidRPr="004F6681">
        <w:rPr>
          <w:rFonts w:ascii="Times New Roman" w:eastAsia="Times New Roman" w:hAnsi="Times New Roman" w:cs="Times New Roman"/>
          <w:lang w:eastAsia="hu-HU"/>
        </w:rPr>
        <w:t xml:space="preserve"> 2017-ben: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születés anyakönyvezése                 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 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2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házasságkötés anyakönyvezése                     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 xml:space="preserve">96 db  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haláleset anyakönyvezése                             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91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anyakönyvi kivonat kiállítása iránti kérelem                                  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545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születés rögzítése papír alapú anyakönyvből EAK rendszerbe         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347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házasság rögzítése papír alapú anyakönyvből EAK rendszerbe       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155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haláleset rögzítése papír alapú anyakönyvből EAK rendszerbe         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16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születendő gyermekre tett apai elismerő nyilatkozatok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35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születési családi- és utónév változtatási kérelem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7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házassági névmódosítási kérelem                 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32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SZÉP korú polgárok köszöntésének megszervezése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7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egyszerűsített honosítási okirat                     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23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hazai anyakönyvezési kérelem                       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8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      </w:t>
      </w:r>
    </w:p>
    <w:p w:rsidR="008B4826" w:rsidRPr="00AD71F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AD71F1">
        <w:rPr>
          <w:rFonts w:ascii="Times New Roman" w:eastAsia="Times New Roman" w:hAnsi="Times New Roman" w:cs="Times New Roman"/>
          <w:b/>
          <w:u w:val="single"/>
          <w:lang w:eastAsia="hu-HU"/>
        </w:rPr>
        <w:t>Szociális ellátás, gyermekjóléti alapellátás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gyermekek védelméről és a gyámügyi igazgatásról szóló 1997. évi XXXI. törvény (a továbbiakban: Gyvt.) értemében a gyermekek védelmét pénzbeli, természetbeni és személyes gondoskodást nyújtó gyermekjóléti alapellátások, illetve gyermekvédelmi szakellátások, valamint a hatósági intézkedések biztosítják.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Az önkormányzat a gyermekek védelmét pénzbeli, természetbeni ellátásokkal, személyes gondoskodást nyújtó gyermekjóléti alapellátásokkal biztosítja.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A szociálisan rászoruló személyek - a szociális pénzbeli és természetbeni ellátások kiegészítéseként - Kiskőrös Város Önkormányzata Képviselő-testületének a szociális ellátásokról szóló 7/2015. (II. 26.) önkormányzati rendelete alapján települési támogatásban és rendkívüli települési támogatásban részesülhetnek.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A rendszeres települési támogatás 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a szociális alapszolgáltatás keretében nyújtott étkeztetés hozzájárulásához, valamint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gyógyszerkiadások viseléséhez nyújtott támogatás.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rendkívüli települési támogatás az alábbi létfenntartási gond fennállása esetén nyújtott támogatás: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válsághelyzetben lévő várandós anya gyermekének megtartásához,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a nevelésbe vett gyermek családjával való kapcsolattartás,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a gyermek családba való visszakerülésének elősegítése,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a gyermek hátrányos helyzete miatt a család anyagi segítségre szorul,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a gyermek iskoláztatása,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a családban egyidejűleg három vagy több gyermek születik,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fűtési időszak,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a lakásfenntartás havi költsége meghaladja az öregségi nyugdíj mindenkori legkisebb összegének 80%-át,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a megélhetést érintő előre nem tervezett többletkiadás esetén.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lastRenderedPageBreak/>
        <w:t>Rendkívüli települési támogatás nyújtható létfenntartást veszélyeztető rendkívüli élethelyzet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elemi kár bekövetkezése,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haláleset,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a kérelmező családjában élő személy, tartós, legalább 20 napot meghaladó kórházi kezelése esetén.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2017. évben a szociális támogatások kifizetése pénzbeli kifizetéssel és közüzemi szolgáltatóhoz történő utalással történt.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2017. évben az Önkormányzat az alábbi pénzbeli és természetbeni ellátásokat biztosította: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Szociális támogatás neve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Ellátottak száma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rendszeres gyermekvédelmi kedvezmény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299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lakbértámogatás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0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települési támogatás (gyógyszer)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0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települési támogatás (étkeztetés)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19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rendkívüli települési támogatás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121 fő, 154 esetben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BURSA Hungarica Ösztöndíj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13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köztemetés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4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2017. évben szociális ellátásokra - rendkívüli települési támogatás, települési támogatás (étkeztetés), köztemetés – 3.085.709,- Ft került kifizetésre.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Bursa Hungarica Felsőoktatási Önkormányzati Ösztöndíjpályázaton belül a szociálisan rászoruló felsőoktatási hallgatók tanulmányainak támogatására az Önkormányzat a 2017. évi költségvetésében 625.000,-Ft előirányzatot biztosított.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Gyvt. alapján természetbeni ellátásként a gyermek életkorának megfelelő gyermekétkeztetést kell biztosítani a gyermeket gondozó szülő, törvényes képviselő vagy nevelésbe vett gyermek esetén a gyermek ellátását biztosító nevelőszülő, gyermekotthon vezetője, illetve a szociális igazgatásról és szociális ellátásokról szóló 1993. évi III. törvény (a továbbiakban: Szt.) hatálya alá tartozó ápolást, gondozást nyújtó intézmény vezetője kérelmére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a) a bölcsődében, mini bölcsődében,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b) az óvodában,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c) a nyári napközis otthonban,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d) az általános és középiskolai kollégiumban, az itt szervezett externátusi ellátásban,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e) az általános iskolai és - ha önkormányzati rendelet kivételével jogszabály másképpen nem rendelkezik - a középfokú iskolai menzai ellátás keretében,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f) a fogyatékos gyermekek, tanulók nevelését, oktatását ellátó intézményben és a fogyatékos gyermekek számára nappali ellátást nyújtó, az Szt. hatálya alá tartozó fogyatékosok nappali intézményében [az a)-f) pontban foglaltak  együtt: intézményi gyermekétkeztetés],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g) a bölcsőde, mini bölcsőde és az óvoda zárva tartása, valamint az iskolában a nemzeti köznevelésről szóló 2011. évi CXC. törvény ( a továbbiakban: Nktv.) 30. § (1) bekezdése szerinti nyári szünet és az Nktv. 30. § (4) bekezdése szerinti tanítási szünetek időtartama alatt (a továbbiakban együtt: szünidei gyermekétkeztetés).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települési önkormányzatnak a Gyvt. alapján a szünidei gyermekétkeztetés keretében a szülő, törvényes képviselő kérelmére a déli meleg főétkezést a hátrányos helyzetű gyermek és a rendszeres gyermekvédelmi kedvezményben részesülő, halmozottan hátrányos helyzetű gyermek részére ingyenesen kell biztosítani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a) a bölcsődében, mini bölcsődében bölcsődei ellátásban, óvodai nevelésben részesülő gyermekek számára a bölcsődei ellátást nyújtó intézmény és az óvoda zárva tartásának időtartama alatt valamennyi munkanapon,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b) az a) pont alá nem tartozó gyermekek számára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ba) a nyári szünetben legalább 43 munkanapon, legfeljebb a nyári szünet időtartamára eső valamennyi munkanapon.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2017 évben az Önkormányzat a szünidei gyermekétkeztetés keretében az évközi szünet időtartama alatt: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tavaszi szünetben: 11 fő részére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őszi szünetben: 7 fő részére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téli szünetben: 5 fő részére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nyári tanítási szünetben: 18 fő részére ingyenesen a déli meleg főétkezést a Ts Gastro Kft. tálalókonyháján.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8559B2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2.2. Adó </w:t>
      </w:r>
      <w:r w:rsidRPr="008559B2">
        <w:rPr>
          <w:rFonts w:ascii="Times New Roman" w:eastAsia="Times New Roman" w:hAnsi="Times New Roman" w:cs="Times New Roman"/>
          <w:b/>
          <w:u w:val="single"/>
          <w:lang w:eastAsia="hu-HU"/>
        </w:rPr>
        <w:t>csoport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helyi adókról szóló 1990. évi C. törvény felhatalmazása alapján Kiskőrös Város Önkormányzatának Képviselő-testülete a helyi adók közül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magánszemélyek kommunális adóját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helyi iparűzési adót és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idegenforgalmi adót vezetett be az illetékességi területén.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 helyi iparűzési adónál a 201</w:t>
      </w:r>
      <w:r>
        <w:rPr>
          <w:rFonts w:ascii="Times New Roman" w:eastAsia="Times New Roman" w:hAnsi="Times New Roman" w:cs="Times New Roman"/>
          <w:lang w:eastAsia="hu-HU"/>
        </w:rPr>
        <w:t>7. évi adóévben is</w:t>
      </w:r>
      <w:r w:rsidRPr="004F6681">
        <w:rPr>
          <w:rFonts w:ascii="Times New Roman" w:eastAsia="Times New Roman" w:hAnsi="Times New Roman" w:cs="Times New Roman"/>
          <w:lang w:eastAsia="hu-HU"/>
        </w:rPr>
        <w:t xml:space="preserve"> a Képviselő-testület adómentességet biztosított annak a háziorvos, védőnő vállalkozónak, akinek a vállalkozási szintű iparűzési adóalapja az adóévben nem haladja meg a 20 millió forintot. Ezzel is elismerve az egészségügyi alapellátásban közreműködő vállalkozó háziorvosok, védőnők áldozatos munkáját.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2017. évben befolyt adóbevételek: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magánszemélyek kommunális adója: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66-  millió Ft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           (adózók száma: 5809 fő)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iparűzési adó: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               807- millió Ft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(adózók száma: 2172 fő)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gépjárműadó: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             40% helyben maradó: 58,5 millió Ft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                                  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>60% kincstár: 87,7 millió Ft (adózók száma: 5841 fő)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idegenforgalmi adó: 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                9,1 millió Ft </w:t>
      </w:r>
      <w:r w:rsidRPr="004F6681">
        <w:rPr>
          <w:rFonts w:ascii="Times New Roman" w:eastAsia="Times New Roman" w:hAnsi="Times New Roman" w:cs="Times New Roman"/>
          <w:lang w:eastAsia="hu-HU"/>
        </w:rPr>
        <w:tab/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          (adózók száma: 15 fő)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Magánszemélyek kommunális adója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méltányossági törlés: 53 főnél 780.000 Ft összegben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62. év felettiek adókedvezménye: 10,2 millió Ft összegben (2000 fő esetében)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            Szennyvíz csatorna létesítés miatt: 300.000,- Ft (73 fő)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Iparűzési adó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adóalaphoz kötött mentesség (900 ezer forint alatti adóalap):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mentes bevétel: 333 millió Ft - bevétel 2 %-a (adókiesés) 6,66 millió Ft.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-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háziorvosok 20 millió Ft adóalapig mentes bevétel: 92 millió Ft - bevétel 2 %-a (adókiesés) 1,84 millió Ft.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600.000,- Ft alatti bevétel miatt nyilatkozatot tevők létszáma: 343 fő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Végrehajtási intézkedések: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inkasszó: 607 tétel, 56 millió Ft összegben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munkabér és nyugdíj letiltás: 333  főnél 2 millió forint összegben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gépjármű forgalomból történő kitiltás 27 esetben 2,3 millió forint behajtása érdekében</w:t>
      </w:r>
    </w:p>
    <w:p w:rsidR="008B4826" w:rsidRPr="004F6681" w:rsidRDefault="008B4826" w:rsidP="008B482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minden hónapban, a teljes hátralékos állományt átjelentésre kerül a NAV-nak adóvisszatartás céljából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lastRenderedPageBreak/>
        <w:t>A végrehajtási intézkedések eredményeképpen 2016. december 31. és 2017. december 31. közötti időszakban 28 millió forinttal csökkent a végrehajtható adóhátralék összege.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Adó- és értékbizonyítvány kiállítása (pl. hagyatéki eljáráshoz, gyámhivatali eljáráshoz és adóvégrehajtási eljárás esetén): 1193 db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noProof/>
          <w:lang w:eastAsia="hu-HU"/>
        </w:rPr>
        <w:drawing>
          <wp:inline distT="0" distB="0" distL="0" distR="0" wp14:anchorId="6C777768" wp14:editId="3E2CC1DA">
            <wp:extent cx="5486400" cy="3200400"/>
            <wp:effectExtent l="38100" t="0" r="19050" b="1905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224C04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224C04">
        <w:rPr>
          <w:rFonts w:ascii="Times New Roman" w:eastAsia="Times New Roman" w:hAnsi="Times New Roman" w:cs="Times New Roman"/>
          <w:b/>
          <w:u w:val="single"/>
          <w:lang w:eastAsia="hu-HU"/>
        </w:rPr>
        <w:t>2.3.</w:t>
      </w:r>
      <w:r w:rsidRPr="00224C04">
        <w:rPr>
          <w:rFonts w:ascii="Times New Roman" w:eastAsia="Times New Roman" w:hAnsi="Times New Roman" w:cs="Times New Roman"/>
          <w:b/>
          <w:u w:val="single"/>
          <w:lang w:eastAsia="hu-HU"/>
        </w:rPr>
        <w:tab/>
        <w:t>Építéshatósági Csoport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Az elsőfokú építésügyi hatósági feladatokat 2017. évben Akasztó, Csengőd, Kaskantyú, Kiskőrös, Páhi, Soltszentimre, Tabdi, Bócsa, Soltvadkert, Tázlár, Kecel, Imrehegy, Császártöltés, Fülöpszállás, Izsák illetékességi területén kellett ellátni.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 xml:space="preserve">A fenti településekre vonatkozóan kiadott döntések száma a következő: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építési engedély határozat: 90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módosított építési engedély határozat: 16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bontási engedély határozat: 1 db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fennmaradási és továbbépítési engedély: 4 db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 xml:space="preserve">fennmaradási és használatbavételre vonatkozó engedély: 7 db 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használatbavételi engedély: 23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használatbavétel tudomásulvétele hallgatással: 43 db</w:t>
      </w: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függő hatályú döntések száma: 177 db</w:t>
      </w:r>
    </w:p>
    <w:p w:rsidR="008B4826" w:rsidRPr="004F6681" w:rsidRDefault="008B4826" w:rsidP="008B4826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hatósági bizonyítványok (tervezés elősegítésére, ingatlan nyilvántartási átvezetéshez) száma: 67 db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•</w:t>
      </w:r>
      <w:r w:rsidRPr="004F6681">
        <w:rPr>
          <w:rFonts w:ascii="Times New Roman" w:eastAsia="Times New Roman" w:hAnsi="Times New Roman" w:cs="Times New Roman"/>
          <w:lang w:eastAsia="hu-HU"/>
        </w:rPr>
        <w:tab/>
        <w:t>építésügyi hatósági szolgáltatás körében adott nyilatkozatok száma: 122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hu-HU"/>
        </w:rPr>
      </w:pPr>
      <w:r w:rsidRPr="004F6681">
        <w:rPr>
          <w:rFonts w:ascii="Times New Roman" w:eastAsia="Times New Roman" w:hAnsi="Times New Roman" w:cs="Times New Roman"/>
          <w:lang w:eastAsia="hu-HU"/>
        </w:rPr>
        <w:t>Az Építéshatósági Csoportnál 2017. évben a döntések száma (határozatok, hatósági bizonyítványok, megtagadott hatósági bizonyítványok, végzések, szakhatósági állásfoglalások, használatbavétel tudomásulvétele hallgatással) összesen: 1805 db</w:t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Pr="004F6681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 wp14:anchorId="56159658" wp14:editId="1535991F">
            <wp:extent cx="5486400" cy="3724275"/>
            <wp:effectExtent l="0" t="0" r="19050" b="9525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B4826" w:rsidRDefault="008B4826" w:rsidP="008B48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F46EB">
        <w:rPr>
          <w:rFonts w:ascii="Times New Roman" w:hAnsi="Times New Roman" w:cs="Times New Roman"/>
          <w:b/>
          <w:color w:val="000000"/>
        </w:rPr>
        <w:t>Pénzügyi Osztály</w:t>
      </w:r>
    </w:p>
    <w:p w:rsidR="008B4826" w:rsidRDefault="008B4826" w:rsidP="008B4826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A Kiskőrösi Polgármesteri Hivatalban a gazdasági – pénzügyi feladatokat a Pénzügyi osztály látja el. Az osztály feladata - mint a hivatal gazdasági szervezete, önállóan működő és gazdálkodó szervezet – az önkormányzat, a hivatal, valamint a hozzá rendelt önállóan működő intézmények, a Kiskőrösi Többcélú Kistérségi Társulás és a Kiskőrös és Térsége Ivóvízminőség-javító Önkormányzati Társulás pénzügyi-gazdasági feladatainak ellátása. Együttműködési megállapodás alapján a pénzügyi osztály látja el a szlovák, német és cigány nemzetiségi önkormányzat gazdálkodásával kapcsolatos feladatokat is.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A pénzügyi osztály dolgozóinak feladatköre igen szerteágazó, mivel szinte minden önkormányzati és hatósági feladatnak van bizonyos mértékű pénzügyi háttere.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A jellemző állandó, korábbi években is meglévő feladatok az osztály munkájában a következők: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költségvetési rendelet előkészítése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havi, negyedéves és éves jelentések készítése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éves beszámoló elkészítése, zárszámadási rendelet előkészítése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likviditási, pénzügyi tervek készítése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könyvelési feladatok, bizonylati rend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számlavezetés, készpénzforgalom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tárgyi eszköznyilvántartás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beruházási statisztikák készítése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leltározás, selejtezés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bérgazdálkodás</w:t>
      </w:r>
    </w:p>
    <w:p w:rsidR="008B4826" w:rsidRPr="00565A13" w:rsidRDefault="008B4826" w:rsidP="008B4826">
      <w:pPr>
        <w:numPr>
          <w:ilvl w:val="0"/>
          <w:numId w:val="46"/>
        </w:numPr>
        <w:suppressAutoHyphens/>
        <w:autoSpaceDE w:val="0"/>
        <w:spacing w:after="0" w:line="240" w:lineRule="auto"/>
        <w:ind w:left="72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pályázatokhoz kapcsolódó feladatok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57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A Saldo Budget Creator Integrált Számviteli Rendszer  használatával tartjuk nyilván a kötelezettségvállalásokat, valamint a program biztosítja a bank, pénztár, bér, előirányzat, nettó finanszírozás, tárgyi eszközök állományváltozása és egyéb pénzforgalmi események könyvviteli </w:t>
      </w: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 xml:space="preserve">nyilvántartásokban való rögzítését. A rendszer használata 2014. július hónap óta távüzemi kapcsolattal működik. </w:t>
      </w:r>
    </w:p>
    <w:p w:rsidR="008B4826" w:rsidRDefault="008B4826" w:rsidP="008B4826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u w:val="single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center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u w:val="single"/>
          <w:lang w:eastAsia="zh-CN"/>
        </w:rPr>
        <w:t>A beérkező számlák darabszámát és intézményenkénti megoszlását az alábbi diagram szemlélteti:</w:t>
      </w:r>
      <w:r w:rsidRPr="00565A13">
        <w:rPr>
          <w:rFonts w:ascii="Times New Roman" w:eastAsia="Times New Roman" w:hAnsi="Times New Roman" w:cs="Times New Roman"/>
          <w:color w:val="000000"/>
          <w:highlight w:val="red"/>
          <w:lang w:eastAsia="zh-CN"/>
        </w:rPr>
        <w:t xml:space="preserve"> </w:t>
      </w:r>
    </w:p>
    <w:p w:rsidR="008B4826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zh-CN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hu-HU"/>
        </w:rPr>
        <w:drawing>
          <wp:inline distT="0" distB="0" distL="0" distR="0" wp14:anchorId="443FE3FF" wp14:editId="621A8E25">
            <wp:extent cx="5486400" cy="3200400"/>
            <wp:effectExtent l="0" t="0" r="19050" b="1905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Az önkormányzat számlavezető pénzintézete 2014. július 1. napjától a K &amp; H Bank Zrt, amely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hu-HU"/>
        </w:rPr>
        <w:t>bankszámlaszerződés és a kapcsolódó folyószámlahitel szerződés is 3 éves határozott időtartamra - 2014.07.01. napjától 2017.06.30. napjáig – szólt.. A szerződés lejárata miatt új beszerzési eljárás elindítására került sor, szintén 3 év határozott időtartamra 2020.06.30. napjáig, mely eljárás nyertese  újból a K&amp;H Bank Zrt. lett. A szerződések megkötésre kerültek.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2014.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novembere óta az önkormányzat fizetési számlájára és három adónemben – kommunális adó, gépjármű adó és iparűzési adó – az adószámlákra bankkártyás befizetést is elfogadunk. Az étkeztetés befizetése is lehetséges bankkártyával az óvodákban és az általános iskolában.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highlight w:val="yellow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2014. január 1-től az államháztartás szerveinek könyvvitelére és beszámoló készítésére vonatkozó új szabályok léptek életbe, ami alapján teljesen új könyvelési rendszer szerint folyik a munka, minden gazdasági eseményt egyrészt a pénzügyi számvitel, másrészt a költségvetési számvitel szerint is könyvelni kell, a költségvetési szervekre eddig nem vonatkozó időbeli elhatárolások számvitele is megjelent a könyvelés során, illetve eredményszemléletben is be kell mutatni a gazdálkodást. Az új rendszerre való áttérés nagyon nagy feladat volt, talán a korábbi évek viszonylatában a legnagyobbnak mondható, </w:t>
      </w:r>
      <w:r w:rsidRPr="00565A13">
        <w:rPr>
          <w:rFonts w:ascii="Times New Roman" w:eastAsia="Times New Roman" w:hAnsi="Times New Roman" w:cs="Times New Roman"/>
          <w:lang w:eastAsia="zh-CN"/>
        </w:rPr>
        <w:t xml:space="preserve">amely a mai napig folyamatos változtatásokon megy keresztül. 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Az önkormányzati vagyon folyamatos, megfelelően részletezett nyilvántartásainak vezetése szintén a szervezeti egység feladatai közé tartozik, a vagyonkimutatás, valamint a mérleg adatainak és az abban található adatokat alátámasztó főkönyvi és analitikus nyilvántartási adatok alapján, a vagyongazdálkodási szabályok folyamatos figyelembe vételével történik. Az új számviteli szabályozás alapján az önkormányzat vagyonát elkülönítetten költségvetési szervenként, valamint önkormányzati szinten összesítve is ki kell mutatni. Ennek megfelelően a korábbi évektől eltérően a tárgyi eszközök nyilvántartásában is biztosítani kell az elkülöníthetőséget. 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>Gondoskodni kell továbbá az önkormányzati vagyontárgyak értékének és annak változásának a nyilvántartásokon való átvezetéséről is.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lang w:eastAsia="zh-CN"/>
        </w:rPr>
        <w:lastRenderedPageBreak/>
        <w:t>2014.október 1-e óta az önkormányzat nem befektetési tanácsadó cég közreműködésével biztosítja  az átmenetileg szabad pénzeszközök elhelyezését, hanem a pénügyi osztály segítségével a polgármester kezeli.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lang w:eastAsia="zh-CN"/>
        </w:rPr>
        <w:t>A 2017-es év egyik kiemelt feladata volt – a számlavezető bank kiválasztása mellett - ismételten elindítani az új óvoda építése fejlesztési célhoz kapcsolódóan - a Képviselő-testületi határozatnak megfelelően – 570 millió Ft adósságot keletkeztető ügylet megkötésének lebonyolítását, beleértve a beszerzési eljárás megindítását és bírálati szempontjainak meghatározását, a Kormány előzetes hozzájárulásának megkérését, valamint a hitel és biztosítéki szerződések megkötését is. A Kormány hozzájárulását az önkormányzat megkapta, a szerződés megkötésre került.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lang w:eastAsia="zh-CN"/>
        </w:rPr>
        <w:t>A 2017-es év harmadik kiemelt feladata volt az Mötv. 114.§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65A13">
        <w:rPr>
          <w:rFonts w:ascii="Times New Roman" w:eastAsia="Times New Roman" w:hAnsi="Times New Roman" w:cs="Times New Roman"/>
          <w:lang w:eastAsia="zh-CN"/>
        </w:rPr>
        <w:t xml:space="preserve">(2) bekezdésében </w:t>
      </w:r>
      <w:r>
        <w:rPr>
          <w:rFonts w:ascii="Times New Roman" w:eastAsia="Times New Roman" w:hAnsi="Times New Roman" w:cs="Times New Roman"/>
          <w:lang w:eastAsia="zh-CN"/>
        </w:rPr>
        <w:t>meghatározott</w:t>
      </w:r>
      <w:r w:rsidRPr="00565A13">
        <w:rPr>
          <w:rFonts w:ascii="Times New Roman" w:eastAsia="Times New Roman" w:hAnsi="Times New Roman" w:cs="Times New Roman"/>
          <w:lang w:eastAsia="zh-CN"/>
        </w:rPr>
        <w:t xml:space="preserve"> állam által biztosított elektronikus információs önkormányzati rendszerhez (ASP) való csatlakozásra való felkészülés a gazdálkodási szakrendszer vonatkozásában az önkormányzati ASP rendszerről szóló 257/2016.(VIII.31.) Korm.rendeletben előírtak szerint. Ahhoz, hogy az átállás 2018. január 1. napjával megtörténhessen  az adatállomány felülvizsgálatra került, így a kötelezettség és követelés állomány, a befejezetlen beruházások és a partner adatállomány, valamint a tárgyi eszközök és a vagyonkateszter egyeztetése, a leltározások, selejtezések fokozott ellenőrzése is megtörtént. </w:t>
      </w:r>
      <w:r w:rsidRPr="00565A13">
        <w:rPr>
          <w:rFonts w:ascii="Times New Roman" w:eastAsia="Times New Roman" w:hAnsi="Times New Roman" w:cs="Calibri"/>
          <w:lang w:eastAsia="zh-CN"/>
        </w:rPr>
        <w:t xml:space="preserve">A migráció során a beállításvarázsló futtatásához szükséges volt az egész gazdálkodási rendszer újragondolására az új rendszer sajátosságaihoz igazodva (a felhasználók, szerepkörök, feladatok meghatározása, az  intézményi adatok összegyűjtése, …), amelyek  rögzítésre is kerültek az ASP-ben. Az új rendszer beállításához, használatához szükséges  a folyamatos tanulás az ASP tesztrendszerben és oktatási felületen is az éles rendszerrel párhuzamosan. </w:t>
      </w: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8B4826" w:rsidRPr="00565A13" w:rsidRDefault="008B4826" w:rsidP="008B4826">
      <w:pPr>
        <w:suppressAutoHyphens/>
        <w:autoSpaceDE w:val="0"/>
        <w:spacing w:after="0" w:line="240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565A13">
        <w:rPr>
          <w:rFonts w:ascii="Times New Roman" w:eastAsia="Times New Roman" w:hAnsi="Times New Roman" w:cs="Times New Roman"/>
          <w:color w:val="000000"/>
          <w:lang w:eastAsia="zh-CN"/>
        </w:rPr>
        <w:t xml:space="preserve">2017. évben is feladat a gyermekétkeztetés biztosításának kötelezettsége. Ehhez kapcsolódóan 2015. július 1. napjától a Kiskőrösi Sportigazgatóság feladatainak átszervezése miatt – Kőrösszolg Kft megalakulásával - az osztály feladata kibővült. Feladat Kiskőrös város területén működő állami és önkormányzati fenntartású oktatási intézmények tanulói közétkezési térítési díjainak – óvodák és bölcsöde kivételével – számlázása, begyűjtése, összesítése, befizetése, a szolgáltatónál az étkeztetés megrendelése. </w:t>
      </w:r>
      <w:r w:rsidRPr="00565A13">
        <w:rPr>
          <w:rFonts w:ascii="Times New Roman" w:eastAsia="Times New Roman" w:hAnsi="Times New Roman" w:cs="Times New Roman"/>
          <w:lang w:eastAsia="zh-CN"/>
        </w:rPr>
        <w:t>Havi szinten átlagosan 469 fő gyermek étkeztetésének fenti feladatait látjuk el (Bem Iskola 159 fő napközi, 162 fő menza; Speciális Iskola 82 fő napközi, 5 fő menza; Wattay Szakközépiskola 36 fő menza, szakisko</w:t>
      </w:r>
      <w:r>
        <w:rPr>
          <w:rFonts w:ascii="Times New Roman" w:eastAsia="Times New Roman" w:hAnsi="Times New Roman" w:cs="Times New Roman"/>
          <w:lang w:eastAsia="zh-CN"/>
        </w:rPr>
        <w:t>la 7 fő menza, kollégium 18 fő)</w:t>
      </w:r>
      <w:r w:rsidRPr="00565A13">
        <w:rPr>
          <w:rFonts w:ascii="Times New Roman" w:eastAsia="Times New Roman" w:hAnsi="Times New Roman" w:cs="Times New Roman"/>
          <w:lang w:eastAsia="zh-CN"/>
        </w:rPr>
        <w:t>.</w:t>
      </w: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4826" w:rsidRDefault="008B4826" w:rsidP="008B4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4826" w:rsidRPr="00FF46EB" w:rsidRDefault="008B4826" w:rsidP="008B4826">
      <w:pPr>
        <w:spacing w:after="0" w:line="240" w:lineRule="auto"/>
        <w:rPr>
          <w:rFonts w:ascii="Times New Roman" w:eastAsia="Calibri" w:hAnsi="Times New Roman" w:cs="Times New Roman"/>
        </w:rPr>
      </w:pPr>
    </w:p>
    <w:p w:rsidR="008B4826" w:rsidRPr="00FF46EB" w:rsidRDefault="008B4826" w:rsidP="008B4826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FF46EB">
        <w:rPr>
          <w:rFonts w:ascii="Times New Roman" w:eastAsia="Times New Roman" w:hAnsi="Times New Roman" w:cs="Times New Roman"/>
          <w:b/>
          <w:lang w:eastAsia="hu-HU"/>
        </w:rPr>
        <w:t>Kiskőrös, 201</w:t>
      </w:r>
      <w:r>
        <w:rPr>
          <w:rFonts w:ascii="Times New Roman" w:eastAsia="Times New Roman" w:hAnsi="Times New Roman" w:cs="Times New Roman"/>
          <w:b/>
          <w:lang w:eastAsia="hu-HU"/>
        </w:rPr>
        <w:t>8</w:t>
      </w:r>
      <w:r w:rsidRPr="00FF46EB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lang w:eastAsia="hu-HU"/>
        </w:rPr>
        <w:t>november 12</w:t>
      </w:r>
      <w:r w:rsidRPr="00FF46EB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8B4826" w:rsidRPr="00FF46EB" w:rsidRDefault="008B4826" w:rsidP="008B482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Pr="00FF46EB" w:rsidRDefault="008B4826" w:rsidP="008B482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FF46EB">
        <w:rPr>
          <w:rFonts w:ascii="Times New Roman" w:eastAsia="Times New Roman" w:hAnsi="Times New Roman" w:cs="Times New Roman"/>
          <w:b/>
          <w:lang w:eastAsia="hu-HU"/>
        </w:rPr>
        <w:t>dr. Turán Csaba sk.</w:t>
      </w:r>
    </w:p>
    <w:p w:rsidR="008B4826" w:rsidRPr="00FF46EB" w:rsidRDefault="008B4826" w:rsidP="008B4826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FF46EB">
        <w:rPr>
          <w:rFonts w:ascii="Times New Roman" w:eastAsia="Times New Roman" w:hAnsi="Times New Roman" w:cs="Times New Roman"/>
          <w:b/>
          <w:lang w:eastAsia="hu-HU"/>
        </w:rPr>
        <w:t>jegyző</w:t>
      </w:r>
    </w:p>
    <w:p w:rsidR="008B4826" w:rsidRDefault="008B4826" w:rsidP="008B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Default="008B4826" w:rsidP="008B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Default="008B4826" w:rsidP="008B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Default="008B4826" w:rsidP="008B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8B4826" w:rsidRDefault="008B4826" w:rsidP="008B4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9D5D8F" w:rsidRDefault="009D5D8F"/>
    <w:sectPr w:rsidR="009D5D8F" w:rsidSect="0089144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9F" w:rsidRDefault="008B4D9F">
      <w:pPr>
        <w:spacing w:after="0" w:line="240" w:lineRule="auto"/>
      </w:pPr>
      <w:r>
        <w:separator/>
      </w:r>
    </w:p>
  </w:endnote>
  <w:endnote w:type="continuationSeparator" w:id="0">
    <w:p w:rsidR="008B4D9F" w:rsidRDefault="008B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951700"/>
      <w:docPartObj>
        <w:docPartGallery w:val="Page Numbers (Bottom of Page)"/>
        <w:docPartUnique/>
      </w:docPartObj>
    </w:sdtPr>
    <w:sdtEndPr/>
    <w:sdtContent>
      <w:p w:rsidR="003D326A" w:rsidRDefault="007B789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FC6">
          <w:rPr>
            <w:noProof/>
          </w:rPr>
          <w:t>1</w:t>
        </w:r>
        <w:r>
          <w:fldChar w:fldCharType="end"/>
        </w:r>
      </w:p>
    </w:sdtContent>
  </w:sdt>
  <w:p w:rsidR="003D326A" w:rsidRDefault="008B4D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9F" w:rsidRDefault="008B4D9F">
      <w:pPr>
        <w:spacing w:after="0" w:line="240" w:lineRule="auto"/>
      </w:pPr>
      <w:r>
        <w:separator/>
      </w:r>
    </w:p>
  </w:footnote>
  <w:footnote w:type="continuationSeparator" w:id="0">
    <w:p w:rsidR="008B4D9F" w:rsidRDefault="008B4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1FB188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6E0847"/>
    <w:multiLevelType w:val="hybridMultilevel"/>
    <w:tmpl w:val="6A8AB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03740"/>
    <w:multiLevelType w:val="hybridMultilevel"/>
    <w:tmpl w:val="92C8A8CC"/>
    <w:lvl w:ilvl="0" w:tplc="A66CE6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12A4C"/>
    <w:multiLevelType w:val="hybridMultilevel"/>
    <w:tmpl w:val="AA0E74EA"/>
    <w:lvl w:ilvl="0" w:tplc="2BCC93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71FE0"/>
    <w:multiLevelType w:val="hybridMultilevel"/>
    <w:tmpl w:val="1D50D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9652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93C04B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822ADC"/>
    <w:multiLevelType w:val="hybridMultilevel"/>
    <w:tmpl w:val="D390B2D8"/>
    <w:lvl w:ilvl="0" w:tplc="574EB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C5628"/>
    <w:multiLevelType w:val="hybridMultilevel"/>
    <w:tmpl w:val="3B14CF3A"/>
    <w:lvl w:ilvl="0" w:tplc="53CC3308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B616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EC2BE6"/>
    <w:multiLevelType w:val="hybridMultilevel"/>
    <w:tmpl w:val="C2C45306"/>
    <w:lvl w:ilvl="0" w:tplc="A66CE66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65909"/>
    <w:multiLevelType w:val="hybridMultilevel"/>
    <w:tmpl w:val="6E1ECDA6"/>
    <w:lvl w:ilvl="0" w:tplc="C80E3C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105484"/>
    <w:multiLevelType w:val="hybridMultilevel"/>
    <w:tmpl w:val="BBFC2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156A"/>
    <w:multiLevelType w:val="hybridMultilevel"/>
    <w:tmpl w:val="A0D8F892"/>
    <w:lvl w:ilvl="0" w:tplc="0D4A1658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084C9A"/>
    <w:multiLevelType w:val="hybridMultilevel"/>
    <w:tmpl w:val="F6A4B9C6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53EAE"/>
    <w:multiLevelType w:val="hybridMultilevel"/>
    <w:tmpl w:val="BE1485FE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191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287877"/>
    <w:multiLevelType w:val="hybridMultilevel"/>
    <w:tmpl w:val="A2BA6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B0A92"/>
    <w:multiLevelType w:val="hybridMultilevel"/>
    <w:tmpl w:val="5186FB3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AA9333E"/>
    <w:multiLevelType w:val="hybridMultilevel"/>
    <w:tmpl w:val="6DDE6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426AF"/>
    <w:multiLevelType w:val="hybridMultilevel"/>
    <w:tmpl w:val="7946F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1737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796170"/>
    <w:multiLevelType w:val="hybridMultilevel"/>
    <w:tmpl w:val="5FD87F10"/>
    <w:lvl w:ilvl="0" w:tplc="A606B5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02C1C86"/>
    <w:multiLevelType w:val="hybridMultilevel"/>
    <w:tmpl w:val="00AC432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44288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BD22A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FF6F3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A81A50"/>
    <w:multiLevelType w:val="hybridMultilevel"/>
    <w:tmpl w:val="44A6E082"/>
    <w:lvl w:ilvl="0" w:tplc="2BCC93EE">
      <w:numFmt w:val="bullet"/>
      <w:lvlText w:val="•"/>
      <w:lvlJc w:val="left"/>
      <w:pPr>
        <w:ind w:left="1062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4AE86737"/>
    <w:multiLevelType w:val="hybridMultilevel"/>
    <w:tmpl w:val="F6023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C323C"/>
    <w:multiLevelType w:val="hybridMultilevel"/>
    <w:tmpl w:val="09C2B318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87055"/>
    <w:multiLevelType w:val="hybridMultilevel"/>
    <w:tmpl w:val="8B64F9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561C72"/>
    <w:multiLevelType w:val="hybridMultilevel"/>
    <w:tmpl w:val="57D4E06E"/>
    <w:lvl w:ilvl="0" w:tplc="D53CED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84677"/>
    <w:multiLevelType w:val="hybridMultilevel"/>
    <w:tmpl w:val="277C3A6A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53C65"/>
    <w:multiLevelType w:val="hybridMultilevel"/>
    <w:tmpl w:val="C3645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6F3D00"/>
    <w:multiLevelType w:val="hybridMultilevel"/>
    <w:tmpl w:val="B86223F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B0A05"/>
    <w:multiLevelType w:val="hybridMultilevel"/>
    <w:tmpl w:val="7AAEC7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D43B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E75222"/>
    <w:multiLevelType w:val="hybridMultilevel"/>
    <w:tmpl w:val="85047E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07627"/>
    <w:multiLevelType w:val="hybridMultilevel"/>
    <w:tmpl w:val="1440497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9A65B22"/>
    <w:multiLevelType w:val="hybridMultilevel"/>
    <w:tmpl w:val="19F8AA48"/>
    <w:lvl w:ilvl="0" w:tplc="2BCC93E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92D8A"/>
    <w:multiLevelType w:val="hybridMultilevel"/>
    <w:tmpl w:val="7DBCF6A6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70F7068F"/>
    <w:multiLevelType w:val="hybridMultilevel"/>
    <w:tmpl w:val="D048E2C0"/>
    <w:lvl w:ilvl="0" w:tplc="AD226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0C358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DF03B5"/>
    <w:multiLevelType w:val="hybridMultilevel"/>
    <w:tmpl w:val="D62E525E"/>
    <w:lvl w:ilvl="0" w:tplc="A66CE6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B496C"/>
    <w:multiLevelType w:val="hybridMultilevel"/>
    <w:tmpl w:val="35C64148"/>
    <w:lvl w:ilvl="0" w:tplc="26FAC5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7"/>
  </w:num>
  <w:num w:numId="3">
    <w:abstractNumId w:val="6"/>
  </w:num>
  <w:num w:numId="4">
    <w:abstractNumId w:val="12"/>
  </w:num>
  <w:num w:numId="5">
    <w:abstractNumId w:val="23"/>
  </w:num>
  <w:num w:numId="6">
    <w:abstractNumId w:val="45"/>
  </w:num>
  <w:num w:numId="7">
    <w:abstractNumId w:val="8"/>
  </w:num>
  <w:num w:numId="8">
    <w:abstractNumId w:val="38"/>
  </w:num>
  <w:num w:numId="9">
    <w:abstractNumId w:val="29"/>
  </w:num>
  <w:num w:numId="10">
    <w:abstractNumId w:val="13"/>
  </w:num>
  <w:num w:numId="11">
    <w:abstractNumId w:val="5"/>
  </w:num>
  <w:num w:numId="12">
    <w:abstractNumId w:val="21"/>
  </w:num>
  <w:num w:numId="13">
    <w:abstractNumId w:val="16"/>
  </w:num>
  <w:num w:numId="14">
    <w:abstractNumId w:val="19"/>
  </w:num>
  <w:num w:numId="15">
    <w:abstractNumId w:val="39"/>
  </w:num>
  <w:num w:numId="16">
    <w:abstractNumId w:val="30"/>
  </w:num>
  <w:num w:numId="17">
    <w:abstractNumId w:val="34"/>
  </w:num>
  <w:num w:numId="18">
    <w:abstractNumId w:val="31"/>
  </w:num>
  <w:num w:numId="19">
    <w:abstractNumId w:val="7"/>
  </w:num>
  <w:num w:numId="20">
    <w:abstractNumId w:val="22"/>
  </w:num>
  <w:num w:numId="21">
    <w:abstractNumId w:val="17"/>
  </w:num>
  <w:num w:numId="22">
    <w:abstractNumId w:val="25"/>
  </w:num>
  <w:num w:numId="23">
    <w:abstractNumId w:val="26"/>
  </w:num>
  <w:num w:numId="24">
    <w:abstractNumId w:val="27"/>
  </w:num>
  <w:num w:numId="25">
    <w:abstractNumId w:val="10"/>
  </w:num>
  <w:num w:numId="26">
    <w:abstractNumId w:val="1"/>
  </w:num>
  <w:num w:numId="27">
    <w:abstractNumId w:val="42"/>
  </w:num>
  <w:num w:numId="28">
    <w:abstractNumId w:val="15"/>
  </w:num>
  <w:num w:numId="29">
    <w:abstractNumId w:val="33"/>
  </w:num>
  <w:num w:numId="30">
    <w:abstractNumId w:val="36"/>
  </w:num>
  <w:num w:numId="31">
    <w:abstractNumId w:val="35"/>
  </w:num>
  <w:num w:numId="32">
    <w:abstractNumId w:val="24"/>
  </w:num>
  <w:num w:numId="33">
    <w:abstractNumId w:val="14"/>
  </w:num>
  <w:num w:numId="34">
    <w:abstractNumId w:val="2"/>
  </w:num>
  <w:num w:numId="35">
    <w:abstractNumId w:val="20"/>
  </w:num>
  <w:num w:numId="36">
    <w:abstractNumId w:val="11"/>
  </w:num>
  <w:num w:numId="37">
    <w:abstractNumId w:val="41"/>
  </w:num>
  <w:num w:numId="38">
    <w:abstractNumId w:val="4"/>
  </w:num>
  <w:num w:numId="39">
    <w:abstractNumId w:val="40"/>
  </w:num>
  <w:num w:numId="40">
    <w:abstractNumId w:val="9"/>
  </w:num>
  <w:num w:numId="41">
    <w:abstractNumId w:val="32"/>
  </w:num>
  <w:num w:numId="42">
    <w:abstractNumId w:val="3"/>
  </w:num>
  <w:num w:numId="43">
    <w:abstractNumId w:val="44"/>
  </w:num>
  <w:num w:numId="44">
    <w:abstractNumId w:val="28"/>
  </w:num>
  <w:num w:numId="45">
    <w:abstractNumId w:val="18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26"/>
    <w:rsid w:val="000C30D7"/>
    <w:rsid w:val="0032526E"/>
    <w:rsid w:val="003359DA"/>
    <w:rsid w:val="003E4AF4"/>
    <w:rsid w:val="004E7638"/>
    <w:rsid w:val="00644FC6"/>
    <w:rsid w:val="00664A6E"/>
    <w:rsid w:val="00722ABC"/>
    <w:rsid w:val="007B7891"/>
    <w:rsid w:val="00816268"/>
    <w:rsid w:val="008B4826"/>
    <w:rsid w:val="008B4D9F"/>
    <w:rsid w:val="00935A7A"/>
    <w:rsid w:val="00961504"/>
    <w:rsid w:val="009D5D8F"/>
    <w:rsid w:val="009D7F1E"/>
    <w:rsid w:val="00D24417"/>
    <w:rsid w:val="00D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55022-F231-4BFB-9C6E-81969A5C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4826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4826"/>
    <w:pPr>
      <w:ind w:left="720"/>
      <w:contextualSpacing/>
    </w:pPr>
  </w:style>
  <w:style w:type="paragraph" w:styleId="lfej">
    <w:name w:val="header"/>
    <w:basedOn w:val="Norml"/>
    <w:link w:val="lfejChar"/>
    <w:rsid w:val="008B48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mallCaps/>
      <w:lang w:eastAsia="hu-HU"/>
    </w:rPr>
  </w:style>
  <w:style w:type="character" w:customStyle="1" w:styleId="lfejChar">
    <w:name w:val="Élőfej Char"/>
    <w:basedOn w:val="Bekezdsalapbettpusa"/>
    <w:link w:val="lfej"/>
    <w:rsid w:val="008B4826"/>
    <w:rPr>
      <w:rFonts w:ascii="Times New Roman" w:eastAsia="Times New Roman" w:hAnsi="Times New Roman" w:cs="Times New Roman"/>
      <w:smallCaps/>
      <w:lang w:eastAsia="hu-HU"/>
    </w:rPr>
  </w:style>
  <w:style w:type="table" w:styleId="Rcsostblzat">
    <w:name w:val="Table Grid"/>
    <w:basedOn w:val="Normltblzat"/>
    <w:uiPriority w:val="59"/>
    <w:rsid w:val="008B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B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826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rsid w:val="008B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8B4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4826"/>
  </w:style>
  <w:style w:type="paragraph" w:styleId="NormlWeb">
    <w:name w:val="Normal (Web)"/>
    <w:basedOn w:val="Norml"/>
    <w:semiHidden/>
    <w:unhideWhenUsed/>
    <w:rsid w:val="008B482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8B482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Ülések száma 2016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Képviselő-testület</c:v>
                </c:pt>
                <c:pt idx="1">
                  <c:v>Kiskőrösi Többcélú Kistérségi Társulás</c:v>
                </c:pt>
                <c:pt idx="2">
                  <c:v>Kiskőrös és Térsége Ivóvízminőség-javító Önkormányzati Társulás</c:v>
                </c:pt>
                <c:pt idx="3">
                  <c:v>Szlovák nemzetiségi Önk.</c:v>
                </c:pt>
                <c:pt idx="4">
                  <c:v>Német Nemzetiségi Önk.</c:v>
                </c:pt>
                <c:pt idx="5">
                  <c:v>Cigány Nemzetiségi Önk.</c:v>
                </c:pt>
              </c:strCache>
            </c:strRef>
          </c:cat>
          <c:val>
            <c:numRef>
              <c:f>Munka1!$B$2:$B$7</c:f>
              <c:numCache>
                <c:formatCode>General</c:formatCode>
                <c:ptCount val="6"/>
                <c:pt idx="0">
                  <c:v>23</c:v>
                </c:pt>
                <c:pt idx="1">
                  <c:v>0</c:v>
                </c:pt>
                <c:pt idx="2">
                  <c:v>6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</c:numCache>
            </c:numRef>
          </c:val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Ülések száma 2017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Képviselő-testület</c:v>
                </c:pt>
                <c:pt idx="1">
                  <c:v>Kiskőrösi Többcélú Kistérségi Társulás</c:v>
                </c:pt>
                <c:pt idx="2">
                  <c:v>Kiskőrös és Térsége Ivóvízminőség-javító Önkormányzati Társulás</c:v>
                </c:pt>
                <c:pt idx="3">
                  <c:v>Szlovák nemzetiségi Önk.</c:v>
                </c:pt>
                <c:pt idx="4">
                  <c:v>Német Nemzetiségi Önk.</c:v>
                </c:pt>
                <c:pt idx="5">
                  <c:v>Cigány Nemzetiségi Önk.</c:v>
                </c:pt>
              </c:strCache>
            </c:strRef>
          </c:cat>
          <c:val>
            <c:numRef>
              <c:f>Munka1!$C$2:$C$7</c:f>
              <c:numCache>
                <c:formatCode>General</c:formatCode>
                <c:ptCount val="6"/>
                <c:pt idx="0">
                  <c:v>19</c:v>
                </c:pt>
                <c:pt idx="1">
                  <c:v>8</c:v>
                </c:pt>
                <c:pt idx="2">
                  <c:v>0</c:v>
                </c:pt>
                <c:pt idx="3">
                  <c:v>10</c:v>
                </c:pt>
                <c:pt idx="4">
                  <c:v>7</c:v>
                </c:pt>
                <c:pt idx="5">
                  <c:v>11</c:v>
                </c:pt>
              </c:numCache>
            </c:numRef>
          </c:val>
        </c:ser>
        <c:ser>
          <c:idx val="2"/>
          <c:order val="2"/>
          <c:tx>
            <c:strRef>
              <c:f>Munka1!$D$1</c:f>
              <c:strCache>
                <c:ptCount val="1"/>
                <c:pt idx="0">
                  <c:v>Rendeletek száma 2016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Képviselő-testület</c:v>
                </c:pt>
                <c:pt idx="1">
                  <c:v>Kiskőrösi Többcélú Kistérségi Társulás</c:v>
                </c:pt>
                <c:pt idx="2">
                  <c:v>Kiskőrös és Térsége Ivóvízminőség-javító Önkormányzati Társulás</c:v>
                </c:pt>
                <c:pt idx="3">
                  <c:v>Szlovák nemzetiségi Önk.</c:v>
                </c:pt>
                <c:pt idx="4">
                  <c:v>Német Nemzetiségi Önk.</c:v>
                </c:pt>
                <c:pt idx="5">
                  <c:v>Cigány Nemzetiségi Önk.</c:v>
                </c:pt>
              </c:strCache>
            </c:strRef>
          </c:cat>
          <c:val>
            <c:numRef>
              <c:f>Munka1!$D$2:$D$7</c:f>
              <c:numCache>
                <c:formatCode>General</c:formatCode>
                <c:ptCount val="6"/>
                <c:pt idx="0">
                  <c:v>24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Munka1!$E$1</c:f>
              <c:strCache>
                <c:ptCount val="1"/>
                <c:pt idx="0">
                  <c:v>Rendeletek száma 2017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Képviselő-testület</c:v>
                </c:pt>
                <c:pt idx="1">
                  <c:v>Kiskőrösi Többcélú Kistérségi Társulás</c:v>
                </c:pt>
                <c:pt idx="2">
                  <c:v>Kiskőrös és Térsége Ivóvízminőség-javító Önkormányzati Társulás</c:v>
                </c:pt>
                <c:pt idx="3">
                  <c:v>Szlovák nemzetiségi Önk.</c:v>
                </c:pt>
                <c:pt idx="4">
                  <c:v>Német Nemzetiségi Önk.</c:v>
                </c:pt>
                <c:pt idx="5">
                  <c:v>Cigány Nemzetiségi Önk.</c:v>
                </c:pt>
              </c:strCache>
            </c:strRef>
          </c:cat>
          <c:val>
            <c:numRef>
              <c:f>Munka1!$E$2:$E$7</c:f>
              <c:numCache>
                <c:formatCode>General</c:formatCode>
                <c:ptCount val="6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Munka1!$F$1</c:f>
              <c:strCache>
                <c:ptCount val="1"/>
                <c:pt idx="0">
                  <c:v>Határozatok száma 2016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Képviselő-testület</c:v>
                </c:pt>
                <c:pt idx="1">
                  <c:v>Kiskőrösi Többcélú Kistérségi Társulás</c:v>
                </c:pt>
                <c:pt idx="2">
                  <c:v>Kiskőrös és Térsége Ivóvízminőség-javító Önkormányzati Társulás</c:v>
                </c:pt>
                <c:pt idx="3">
                  <c:v>Szlovák nemzetiségi Önk.</c:v>
                </c:pt>
                <c:pt idx="4">
                  <c:v>Német Nemzetiségi Önk.</c:v>
                </c:pt>
                <c:pt idx="5">
                  <c:v>Cigány Nemzetiségi Önk.</c:v>
                </c:pt>
              </c:strCache>
            </c:strRef>
          </c:cat>
          <c:val>
            <c:numRef>
              <c:f>Munka1!$F$2:$F$7</c:f>
              <c:numCache>
                <c:formatCode>General</c:formatCode>
                <c:ptCount val="6"/>
                <c:pt idx="0">
                  <c:v>204</c:v>
                </c:pt>
                <c:pt idx="1">
                  <c:v>0</c:v>
                </c:pt>
                <c:pt idx="2">
                  <c:v>13</c:v>
                </c:pt>
                <c:pt idx="3">
                  <c:v>41</c:v>
                </c:pt>
                <c:pt idx="4">
                  <c:v>66</c:v>
                </c:pt>
                <c:pt idx="5">
                  <c:v>34</c:v>
                </c:pt>
              </c:numCache>
            </c:numRef>
          </c:val>
        </c:ser>
        <c:ser>
          <c:idx val="5"/>
          <c:order val="5"/>
          <c:tx>
            <c:strRef>
              <c:f>Munka1!$G$1</c:f>
              <c:strCache>
                <c:ptCount val="1"/>
                <c:pt idx="0">
                  <c:v>Határozatok száma 2017</c:v>
                </c:pt>
              </c:strCache>
            </c:strRef>
          </c:tx>
          <c:invertIfNegative val="0"/>
          <c:cat>
            <c:strRef>
              <c:f>Munka1!$A$2:$A$7</c:f>
              <c:strCache>
                <c:ptCount val="6"/>
                <c:pt idx="0">
                  <c:v>Képviselő-testület</c:v>
                </c:pt>
                <c:pt idx="1">
                  <c:v>Kiskőrösi Többcélú Kistérségi Társulás</c:v>
                </c:pt>
                <c:pt idx="2">
                  <c:v>Kiskőrös és Térsége Ivóvízminőség-javító Önkormányzati Társulás</c:v>
                </c:pt>
                <c:pt idx="3">
                  <c:v>Szlovák nemzetiségi Önk.</c:v>
                </c:pt>
                <c:pt idx="4">
                  <c:v>Német Nemzetiségi Önk.</c:v>
                </c:pt>
                <c:pt idx="5">
                  <c:v>Cigány Nemzetiségi Önk.</c:v>
                </c:pt>
              </c:strCache>
            </c:strRef>
          </c:cat>
          <c:val>
            <c:numRef>
              <c:f>Munka1!$G$2:$G$7</c:f>
              <c:numCache>
                <c:formatCode>General</c:formatCode>
                <c:ptCount val="6"/>
                <c:pt idx="0">
                  <c:v>202</c:v>
                </c:pt>
                <c:pt idx="1">
                  <c:v>19</c:v>
                </c:pt>
                <c:pt idx="2">
                  <c:v>0</c:v>
                </c:pt>
                <c:pt idx="3">
                  <c:v>60</c:v>
                </c:pt>
                <c:pt idx="4">
                  <c:v>45</c:v>
                </c:pt>
                <c:pt idx="5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6054864"/>
        <c:axId val="626901064"/>
        <c:axId val="627096704"/>
      </c:bar3DChart>
      <c:catAx>
        <c:axId val="626054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6901064"/>
        <c:crosses val="autoZero"/>
        <c:auto val="1"/>
        <c:lblAlgn val="ctr"/>
        <c:lblOffset val="100"/>
        <c:noMultiLvlLbl val="0"/>
      </c:catAx>
      <c:valAx>
        <c:axId val="626901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6054864"/>
        <c:crosses val="autoZero"/>
        <c:crossBetween val="between"/>
      </c:valAx>
      <c:serAx>
        <c:axId val="62709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626901064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Ülések sz.</c:v>
                </c:pt>
              </c:strCache>
            </c:strRef>
          </c:tx>
          <c:invertIfNegative val="0"/>
          <c:cat>
            <c:strRef>
              <c:f>Munka1!$A$2:$A$6</c:f>
              <c:strCache>
                <c:ptCount val="5"/>
                <c:pt idx="0">
                  <c:v>Művelődési, közoktatási és Sport Bizottság</c:v>
                </c:pt>
                <c:pt idx="1">
                  <c:v>Egészségügyi és Szociálpolitikai Bizottság</c:v>
                </c:pt>
                <c:pt idx="2">
                  <c:v>Pénzügyi Bizottság</c:v>
                </c:pt>
                <c:pt idx="3">
                  <c:v>Költségvetési, Városfejlesztési és Mezőgazdasági Bizottság</c:v>
                </c:pt>
                <c:pt idx="4">
                  <c:v>Ügyrendi és Összeférhetetlenségi Bizottság</c:v>
                </c:pt>
              </c:strCache>
            </c:strRef>
          </c:cat>
          <c:val>
            <c:numRef>
              <c:f>Munka1!$B$2:$B$6</c:f>
              <c:numCache>
                <c:formatCode>General</c:formatCode>
                <c:ptCount val="5"/>
                <c:pt idx="0">
                  <c:v>22</c:v>
                </c:pt>
                <c:pt idx="1">
                  <c:v>22</c:v>
                </c:pt>
                <c:pt idx="2">
                  <c:v>19</c:v>
                </c:pt>
                <c:pt idx="3">
                  <c:v>19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Munka1!$C$1</c:f>
              <c:strCache>
                <c:ptCount val="1"/>
                <c:pt idx="0">
                  <c:v>Határozatok sz.</c:v>
                </c:pt>
              </c:strCache>
            </c:strRef>
          </c:tx>
          <c:invertIfNegative val="0"/>
          <c:cat>
            <c:strRef>
              <c:f>Munka1!$A$2:$A$6</c:f>
              <c:strCache>
                <c:ptCount val="5"/>
                <c:pt idx="0">
                  <c:v>Művelődési, közoktatási és Sport Bizottság</c:v>
                </c:pt>
                <c:pt idx="1">
                  <c:v>Egészségügyi és Szociálpolitikai Bizottság</c:v>
                </c:pt>
                <c:pt idx="2">
                  <c:v>Pénzügyi Bizottság</c:v>
                </c:pt>
                <c:pt idx="3">
                  <c:v>Költségvetési, Városfejlesztési és Mezőgazdasági Bizottság</c:v>
                </c:pt>
                <c:pt idx="4">
                  <c:v>Ügyrendi és Összeférhetetlenségi Bizottság</c:v>
                </c:pt>
              </c:strCache>
            </c:strRef>
          </c:cat>
          <c:val>
            <c:numRef>
              <c:f>Munka1!$C$2:$C$6</c:f>
              <c:numCache>
                <c:formatCode>General</c:formatCode>
                <c:ptCount val="5"/>
                <c:pt idx="0">
                  <c:v>129</c:v>
                </c:pt>
                <c:pt idx="1">
                  <c:v>106</c:v>
                </c:pt>
                <c:pt idx="2">
                  <c:v>35</c:v>
                </c:pt>
                <c:pt idx="3">
                  <c:v>68</c:v>
                </c:pt>
                <c:pt idx="4">
                  <c:v>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6901848"/>
        <c:axId val="626902240"/>
        <c:axId val="627097976"/>
      </c:bar3DChart>
      <c:catAx>
        <c:axId val="626901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hu-HU"/>
          </a:p>
        </c:txPr>
        <c:crossAx val="626902240"/>
        <c:crosses val="autoZero"/>
        <c:auto val="1"/>
        <c:lblAlgn val="ctr"/>
        <c:lblOffset val="100"/>
        <c:noMultiLvlLbl val="0"/>
      </c:catAx>
      <c:valAx>
        <c:axId val="626902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6901848"/>
        <c:crosses val="autoZero"/>
        <c:crossBetween val="between"/>
      </c:valAx>
      <c:serAx>
        <c:axId val="627097976"/>
        <c:scaling>
          <c:orientation val="minMax"/>
        </c:scaling>
        <c:delete val="1"/>
        <c:axPos val="b"/>
        <c:majorTickMark val="out"/>
        <c:minorTickMark val="none"/>
        <c:tickLblPos val="nextTo"/>
        <c:crossAx val="62690224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</a:t>
            </a:r>
            <a:r>
              <a:rPr lang="hu-HU"/>
              <a:t>7</a:t>
            </a:r>
            <a:r>
              <a:rPr lang="en-US"/>
              <a:t>. évben befolyt adóbevételek </a:t>
            </a:r>
            <a:endParaRPr lang="hu-HU"/>
          </a:p>
          <a:p>
            <a:pPr>
              <a:defRPr/>
            </a:pPr>
            <a:r>
              <a:rPr lang="en-US"/>
              <a:t>(millió Ft.-ban)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2017. évben befolyt adóbevételek (millió Ft.-ban)</c:v>
                </c:pt>
              </c:strCache>
            </c:strRef>
          </c:tx>
          <c:cat>
            <c:strRef>
              <c:f>Munka1!$A$2:$A$5</c:f>
              <c:strCache>
                <c:ptCount val="4"/>
                <c:pt idx="0">
                  <c:v>Magánszemélyek kommunális adója</c:v>
                </c:pt>
                <c:pt idx="1">
                  <c:v>Iparűzési adó</c:v>
                </c:pt>
                <c:pt idx="2">
                  <c:v>Gépjármű adó</c:v>
                </c:pt>
                <c:pt idx="3">
                  <c:v>Idegeforgalmi adó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66</c:v>
                </c:pt>
                <c:pt idx="1">
                  <c:v>807</c:v>
                </c:pt>
                <c:pt idx="2">
                  <c:v>58.5</c:v>
                </c:pt>
                <c:pt idx="3">
                  <c:v>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Építéshatósági </a:t>
            </a:r>
            <a:endParaRPr lang="hu-HU"/>
          </a:p>
          <a:p>
            <a:pPr>
              <a:defRPr/>
            </a:pPr>
            <a:r>
              <a:rPr lang="en-US"/>
              <a:t>döntések száma (db)</a:t>
            </a:r>
          </a:p>
        </c:rich>
      </c:tx>
      <c:layout>
        <c:manualLayout>
          <c:xMode val="edge"/>
          <c:yMode val="edge"/>
          <c:x val="0.157580927384077"/>
          <c:y val="6.1381074168797956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Építéshatósági döntések száma (db)</c:v>
                </c:pt>
              </c:strCache>
            </c:strRef>
          </c:tx>
          <c:explosion val="25"/>
          <c:cat>
            <c:strRef>
              <c:f>Munka1!$A$2:$A$8</c:f>
              <c:strCache>
                <c:ptCount val="7"/>
                <c:pt idx="0">
                  <c:v>Építési engedély határozat</c:v>
                </c:pt>
                <c:pt idx="1">
                  <c:v>Módosított építési engedély határozat</c:v>
                </c:pt>
                <c:pt idx="2">
                  <c:v>Bontási engedély határozat</c:v>
                </c:pt>
                <c:pt idx="3">
                  <c:v>Fennmaradási és továbbépítési engedély</c:v>
                </c:pt>
                <c:pt idx="4">
                  <c:v>Fennmaradási és használatbavételre vonatkozó engedély</c:v>
                </c:pt>
                <c:pt idx="5">
                  <c:v>Használatbavételi engedély</c:v>
                </c:pt>
                <c:pt idx="6">
                  <c:v>Használatbavétel tudomásulvétele hallgatással</c:v>
                </c:pt>
              </c:strCache>
            </c:strRef>
          </c:cat>
          <c:val>
            <c:numRef>
              <c:f>Munka1!$B$2:$B$8</c:f>
              <c:numCache>
                <c:formatCode>General</c:formatCode>
                <c:ptCount val="7"/>
                <c:pt idx="0">
                  <c:v>90</c:v>
                </c:pt>
                <c:pt idx="1">
                  <c:v>16</c:v>
                </c:pt>
                <c:pt idx="2">
                  <c:v>1</c:v>
                </c:pt>
                <c:pt idx="3">
                  <c:v>4</c:v>
                </c:pt>
                <c:pt idx="4">
                  <c:v>7</c:v>
                </c:pt>
                <c:pt idx="5">
                  <c:v>23</c:v>
                </c:pt>
                <c:pt idx="6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5446722805482649"/>
          <c:y val="5.5515873015873025E-2"/>
          <c:w val="0.33164388305628462"/>
          <c:h val="0.9444841382142242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Munka1!$B$1</c:f>
              <c:strCache>
                <c:ptCount val="1"/>
                <c:pt idx="0">
                  <c:v>Sorozat 1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7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9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1"/>
            <c:invertIfNegative val="0"/>
            <c:bubble3D val="0"/>
            <c:spPr>
              <a:solidFill>
                <a:srgbClr val="FFFF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FFFF00"/>
              </a:solidFill>
            </c:spPr>
          </c:dPt>
          <c:cat>
            <c:strRef>
              <c:f>Munka1!$A$2:$A$13</c:f>
              <c:strCache>
                <c:ptCount val="12"/>
                <c:pt idx="0">
                  <c:v>Polgármesteri Hivatal 2016</c:v>
                </c:pt>
                <c:pt idx="1">
                  <c:v>Polgármesteri Hivatal 2017</c:v>
                </c:pt>
                <c:pt idx="2">
                  <c:v>Önkormányzat 2016</c:v>
                </c:pt>
                <c:pt idx="3">
                  <c:v>Önkormányzat 2017</c:v>
                </c:pt>
                <c:pt idx="4">
                  <c:v>Könyvtár 2016</c:v>
                </c:pt>
                <c:pt idx="5">
                  <c:v>Könyvtár 2017</c:v>
                </c:pt>
                <c:pt idx="6">
                  <c:v>Múzeum 2016</c:v>
                </c:pt>
                <c:pt idx="7">
                  <c:v>Múzeum 2017</c:v>
                </c:pt>
                <c:pt idx="8">
                  <c:v>Egészségügyi, Gyermekjóléti és … 2016</c:v>
                </c:pt>
                <c:pt idx="9">
                  <c:v>Egészségügyi, Gyermekjóléti és … 2017</c:v>
                </c:pt>
                <c:pt idx="10">
                  <c:v>Óvodák 2016</c:v>
                </c:pt>
                <c:pt idx="11">
                  <c:v>Óvodák 2017</c:v>
                </c:pt>
              </c:strCache>
            </c:strRef>
          </c:cat>
          <c:val>
            <c:numRef>
              <c:f>Munka1!$B$2:$B$13</c:f>
              <c:numCache>
                <c:formatCode>General</c:formatCode>
                <c:ptCount val="12"/>
                <c:pt idx="0">
                  <c:v>1078</c:v>
                </c:pt>
                <c:pt idx="1">
                  <c:v>1033</c:v>
                </c:pt>
                <c:pt idx="2">
                  <c:v>3456</c:v>
                </c:pt>
                <c:pt idx="3">
                  <c:v>3415</c:v>
                </c:pt>
                <c:pt idx="4">
                  <c:v>438</c:v>
                </c:pt>
                <c:pt idx="5">
                  <c:v>435</c:v>
                </c:pt>
                <c:pt idx="6">
                  <c:v>615</c:v>
                </c:pt>
                <c:pt idx="7">
                  <c:v>638</c:v>
                </c:pt>
                <c:pt idx="8">
                  <c:v>1686</c:v>
                </c:pt>
                <c:pt idx="9">
                  <c:v>1779</c:v>
                </c:pt>
                <c:pt idx="10">
                  <c:v>703</c:v>
                </c:pt>
                <c:pt idx="11">
                  <c:v>780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7108576"/>
        <c:axId val="627108968"/>
        <c:axId val="0"/>
      </c:bar3DChart>
      <c:catAx>
        <c:axId val="627108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7108968"/>
        <c:crosses val="autoZero"/>
        <c:auto val="1"/>
        <c:lblAlgn val="ctr"/>
        <c:lblOffset val="100"/>
        <c:noMultiLvlLbl val="0"/>
      </c:catAx>
      <c:valAx>
        <c:axId val="627108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7108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7661</Words>
  <Characters>52868</Characters>
  <Application>Microsoft Office Word</Application>
  <DocSecurity>0</DocSecurity>
  <Lines>440</Lines>
  <Paragraphs>120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20</cp:revision>
  <dcterms:created xsi:type="dcterms:W3CDTF">2018-11-13T10:21:00Z</dcterms:created>
  <dcterms:modified xsi:type="dcterms:W3CDTF">2018-11-22T09:20:00Z</dcterms:modified>
</cp:coreProperties>
</file>