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DB" w:rsidRPr="004905BD" w:rsidRDefault="003506DB" w:rsidP="003506DB">
      <w:pPr>
        <w:widowControl/>
        <w:spacing w:after="0"/>
        <w:jc w:val="left"/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</w:pPr>
      <w:bookmarkStart w:id="0" w:name="_Toc462331244"/>
      <w:r w:rsidRPr="004905BD"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  <w:t>KISKŐRÖS VÁROS POLGÁRMESTERE</w:t>
      </w:r>
    </w:p>
    <w:p w:rsidR="003506DB" w:rsidRPr="004905BD" w:rsidRDefault="003506DB" w:rsidP="003506DB">
      <w:pPr>
        <w:widowControl/>
        <w:spacing w:after="0"/>
        <w:jc w:val="left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3506DB" w:rsidRPr="004905BD" w:rsidRDefault="003506DB" w:rsidP="003506DB">
      <w:pPr>
        <w:keepNext/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</w:pPr>
      <w:r w:rsidRPr="004905BD"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  <w:t>ELŐTERJESZTÉS</w:t>
      </w:r>
    </w:p>
    <w:p w:rsidR="003506DB" w:rsidRPr="004905BD" w:rsidRDefault="003506DB" w:rsidP="003506DB">
      <w:pPr>
        <w:widowControl/>
        <w:spacing w:after="0"/>
        <w:jc w:val="center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(a Képviselő-testület 201</w:t>
      </w:r>
      <w:r w:rsidR="001C5C7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9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. </w:t>
      </w:r>
      <w:r w:rsidR="001C5C7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október</w:t>
      </w:r>
      <w:r w:rsidR="00484C91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="004148C8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10.</w:t>
      </w:r>
      <w:r w:rsidR="00A20004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-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i</w:t>
      </w:r>
      <w:r w:rsidR="004148C8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rendkívüli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ülésére)</w:t>
      </w:r>
    </w:p>
    <w:p w:rsidR="003506DB" w:rsidRPr="004905BD" w:rsidRDefault="003506DB" w:rsidP="003506DB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:rsidR="003506DB" w:rsidRPr="004905BD" w:rsidRDefault="003506DB" w:rsidP="00EC73C8">
      <w:pPr>
        <w:keepNext/>
        <w:widowControl/>
        <w:spacing w:after="0"/>
        <w:ind w:left="1134" w:hanging="1134"/>
        <w:outlineLvl w:val="1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b/>
          <w:spacing w:val="0"/>
          <w:w w:val="100"/>
          <w:u w:val="single"/>
          <w:lang w:eastAsia="hu-HU"/>
        </w:rPr>
        <w:t>TÁRGY: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ab/>
      </w:r>
      <w:r w:rsidR="001C5C7F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KISKŐRÖS VÁROS </w:t>
      </w:r>
      <w:r w:rsidR="00020751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HELYI ÉPÍTÉSI SZABÁLYZATÁRÓL </w:t>
      </w:r>
      <w:proofErr w:type="gramStart"/>
      <w:r w:rsidR="00020751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ÉS</w:t>
      </w:r>
      <w:proofErr w:type="gramEnd"/>
      <w:r w:rsidR="00020751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SZABÁLYOZÁSI TERVÉRŐL SZÓLÓ 18/2015. (IX.10.) ÖNKORMÁNYZATI RENDELET MÓDOSÍTÁSA</w:t>
      </w:r>
    </w:p>
    <w:p w:rsidR="003B17B6" w:rsidRPr="004905BD" w:rsidRDefault="003B17B6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783DA6" w:rsidRPr="004905BD" w:rsidRDefault="003B17B6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Kiskőrös Város Településképi Arculati kézikönyvét a Képviselő-testület a 19/2018 (II.14.) számú határozatával elfogadta. A Képviselő-testület a 2018. decemberi ülésén megalkotta a Kiskőrös Város településképe védelmének helyi szabályairól szóló 18/2018. (XII.20.) önkormányzati rendeletet (továbbiakban: Településképi rendelet). A Kézikönyvön alapuló településképi rendelet ad új szabályokat a „hogyan, milyen arculattal lehet építeni” kérdésre, míg a Kiskőrös Város Önkormányzata Képviselő-testületének Kiskőrös Város Helyi Építési Szabályzatáról és Szabályozási Tervéről szóló 18/2015. (IX.10.) önkormányzati rendelete (továbbiakban: HÉSZ) szűkített tartalommal a jövőben a „mit lehet építeni” kérdéskörre fókuszál. A két rendelet azonos súllyal, egymást kiegészítve kell, hogy tartalmazza a város területén az építés rendjére </w:t>
      </w:r>
      <w:r w:rsidR="00783DA6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és a településkép védelmére 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vonatkozó szabályokat. A jogszabályok értelmében a</w:t>
      </w:r>
      <w:r w:rsidR="007952F0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HÉSZ és a Településképi rendelet között összhangot szükséges teremteni, meghatározott rendelkezések csak a Településképi rendeletben, bizonyos rendelkezések, pedig csak a HÉSZ-</w:t>
      </w:r>
      <w:proofErr w:type="spellStart"/>
      <w:r w:rsidR="007952F0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ben</w:t>
      </w:r>
      <w:proofErr w:type="spellEnd"/>
      <w:r w:rsidR="007952F0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szerepelhetnek.</w:t>
      </w:r>
      <w:r w:rsidR="00783DA6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A HÉSZ több olyan településképi követelményt tartalmaz, melyek átkerültek a Településképi rendeletbe.</w:t>
      </w:r>
    </w:p>
    <w:p w:rsidR="00783DA6" w:rsidRPr="004905BD" w:rsidRDefault="00783DA6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3B17B6" w:rsidRPr="004905BD" w:rsidRDefault="00AE66E9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A fentiek összhang megteremtése érdekében</w:t>
      </w:r>
      <w:r w:rsidR="00783DA6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a HÉSZ felülvizsgálata megtörtént, a módosítást rendelet-tervezet tartalmazza. A HÉSZ módosítására vonatkozó szabályokat a településképi rendelet a törvény, és a településfejlesztési </w:t>
      </w:r>
      <w:proofErr w:type="gramStart"/>
      <w:r w:rsidR="00783DA6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koncepcióról</w:t>
      </w:r>
      <w:proofErr w:type="gramEnd"/>
      <w:r w:rsidR="00783DA6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, az integrált településfejlesztési stratégiáról, és a településrendezési eszközökről, valamint egyes településrendezési sajátos jogintézményekről szóló 314/2012. (XI.8.) Korm. rendelet (a továbbiakban: kormányrendelet). A kormányrendelet részletesen szabályozza rendelet készítésének és a HÉSZ módosításának eljárását, az egyeztetés, véleményezés szabályait. A módosítás eljárás során alkalmazandóak, a településfejlesztéssel, településrendezéssel és településkép-érvényesítéssel összefüggő partnerségi egyeztetés helyi szabályairól szóló 15/2017. (VII.13.) számú önkormányzati rendeletet</w:t>
      </w:r>
      <w:r w:rsidR="000A10BB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szabályai</w:t>
      </w:r>
      <w:r w:rsidR="00783DA6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, mely az érintett lakosság, szervezetek értesítésének, véleménynyilvánításának módját, határidejét szabályozza.</w:t>
      </w:r>
    </w:p>
    <w:p w:rsidR="003B17B6" w:rsidRPr="004905BD" w:rsidRDefault="003B17B6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99497C" w:rsidRPr="004905BD" w:rsidRDefault="000A10BB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Az eljárásra a kormányrendelet 42/</w:t>
      </w:r>
      <w:proofErr w:type="gramStart"/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A</w:t>
      </w:r>
      <w:proofErr w:type="gramEnd"/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.§ szerint gyorsított, un. állami főépítészi eljárástípus szabályai szerint folyik. </w:t>
      </w:r>
      <w:r w:rsidR="0099497C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A partnerségi egyeztetés szabályai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és a kormányrendelet szabályai értelmében</w:t>
      </w:r>
      <w:r w:rsidR="002A6C55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munkaközi tájékoztatás, 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lakossági fórum</w:t>
      </w:r>
      <w:r w:rsidR="002A6C55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megtartásával és az elkészült tervezetnek az önkormányzat honlapján való közzétételével megtör</w:t>
      </w:r>
      <w:r w:rsidR="0091430A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tént. A véleményezési időszak leteltét követően a partnerségi egyeztetést a polgármester lezárta. A</w:t>
      </w:r>
      <w:r w:rsidR="0099497C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véleményezési eljárás lezárása után a dokumentáció a végső szakmai véleményezés céljából megküldésre került az állami főépítészi hatáskörében eljáró Bács-Kiskun Megyei Kormányhivatal Állami Főépítésze (6000 Kecskemét, Deák Ferenc tér 3.) részére.</w:t>
      </w:r>
    </w:p>
    <w:p w:rsidR="0099497C" w:rsidRPr="004905BD" w:rsidRDefault="0099497C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99497C" w:rsidRPr="004905BD" w:rsidRDefault="0099497C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Bács-Kiskun Megyei Kormányhivatal </w:t>
      </w:r>
      <w:r w:rsidR="0091430A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Kormánymegbízotti Kabinet Állami Főépítész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BK/</w:t>
      </w:r>
      <w:r w:rsidR="0091430A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TH/4616-2/2019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. számú </w:t>
      </w:r>
      <w:r w:rsidR="00BC7071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záró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véleménye</w:t>
      </w:r>
      <w:r w:rsidR="00BC7071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egyetértő, a módosítást jogszerűnek ítélte meg és javasolja</w:t>
      </w:r>
      <w:r w:rsidR="00BC7071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észrevételeinek figyelembe vételével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annak képvisel</w:t>
      </w:r>
      <w:r w:rsidR="008C527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ő-testület általi jóváhagyását</w:t>
      </w:r>
      <w:r w:rsidR="00BC7071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. Az Állami Főépítész észrevételeire adott válaszok az előterjesztés mellékletét képezik. </w:t>
      </w:r>
      <w:r w:rsidR="008C527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</w:p>
    <w:p w:rsidR="0099497C" w:rsidRPr="004905BD" w:rsidRDefault="0099497C" w:rsidP="0099497C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3506DB" w:rsidRPr="004905BD" w:rsidRDefault="003506DB" w:rsidP="003506DB">
      <w:pPr>
        <w:widowControl/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rendelet-tervezet az </w:t>
      </w:r>
      <w:r w:rsidR="00815E02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helyi építési szabályzat módosítását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tart</w:t>
      </w:r>
      <w:r w:rsidR="00FF0393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almazza.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="00761C1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A </w:t>
      </w:r>
      <w:proofErr w:type="gramStart"/>
      <w:r w:rsidR="00761C1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dokumentum</w:t>
      </w:r>
      <w:proofErr w:type="gramEnd"/>
      <w:r w:rsidR="00761C1F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megtekinthető</w:t>
      </w:r>
      <w:r w:rsidR="00F21A4A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a www.kiskoros.hu honlapon és a Kiskőrösi Polgármesteri Hivatal 14. számú irodájában</w:t>
      </w:r>
    </w:p>
    <w:p w:rsidR="003506DB" w:rsidRPr="004905BD" w:rsidRDefault="003506DB" w:rsidP="003506DB">
      <w:pPr>
        <w:widowControl/>
        <w:tabs>
          <w:tab w:val="left" w:pos="284"/>
          <w:tab w:val="left" w:pos="1134"/>
          <w:tab w:val="left" w:pos="5670"/>
        </w:tabs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3506DB" w:rsidRPr="004905BD" w:rsidRDefault="003506DB" w:rsidP="003506DB">
      <w:pPr>
        <w:widowControl/>
        <w:tabs>
          <w:tab w:val="left" w:pos="284"/>
          <w:tab w:val="left" w:pos="1134"/>
          <w:tab w:val="left" w:pos="5670"/>
        </w:tabs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A fentiek alapján javasolom, hogy a Képviselő-testület Kiskőrös Város Helyi építési szabályzatát és Szabályozási tervé</w:t>
      </w:r>
      <w:r w:rsidR="00C31FE3"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nek módosítását</w:t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a rendelet-tervezetnek megfelelően fogadja el.</w:t>
      </w:r>
    </w:p>
    <w:p w:rsidR="003506DB" w:rsidRPr="004905BD" w:rsidRDefault="003506DB" w:rsidP="003506DB">
      <w:pPr>
        <w:widowControl/>
        <w:tabs>
          <w:tab w:val="left" w:pos="284"/>
          <w:tab w:val="left" w:pos="1134"/>
          <w:tab w:val="left" w:pos="5670"/>
        </w:tabs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</w:p>
    <w:p w:rsidR="003506DB" w:rsidRPr="00EC73C8" w:rsidRDefault="003506DB" w:rsidP="00EC73C8">
      <w:pPr>
        <w:widowControl/>
        <w:tabs>
          <w:tab w:val="left" w:pos="7313"/>
          <w:tab w:val="right" w:pos="9920"/>
        </w:tabs>
        <w:spacing w:after="0"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Kiskőrös, 201</w:t>
      </w:r>
      <w:r w:rsidR="00377EAD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9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. </w:t>
      </w:r>
      <w:r w:rsidR="00377EAD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október</w:t>
      </w:r>
      <w:r w:rsidR="002665D2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</w:t>
      </w:r>
      <w:r w:rsidR="00EC73C8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8</w:t>
      </w:r>
      <w:r w:rsidR="007313AF"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</w:t>
      </w:r>
    </w:p>
    <w:p w:rsidR="003506DB" w:rsidRPr="004905BD" w:rsidRDefault="003506DB" w:rsidP="003506DB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:rsidR="003506DB" w:rsidRPr="004905BD" w:rsidRDefault="003506DB" w:rsidP="003506DB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                                                                                               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  <w:t xml:space="preserve"> 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  <w:t xml:space="preserve">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  <w:t xml:space="preserve">  </w:t>
      </w:r>
      <w:proofErr w:type="spellStart"/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Domonyi</w:t>
      </w:r>
      <w:proofErr w:type="spellEnd"/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László </w:t>
      </w:r>
      <w:proofErr w:type="spellStart"/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sk</w:t>
      </w:r>
      <w:proofErr w:type="spellEnd"/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.</w:t>
      </w:r>
    </w:p>
    <w:p w:rsidR="0018213F" w:rsidRPr="00EC73C8" w:rsidRDefault="003506DB" w:rsidP="00EC73C8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                                                                                                   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</w: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  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  <w:t xml:space="preserve">      </w:t>
      </w: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ab/>
        <w:t xml:space="preserve">      </w:t>
      </w:r>
      <w:proofErr w:type="gramStart"/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polgármester</w:t>
      </w:r>
      <w:proofErr w:type="gramEnd"/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 xml:space="preserve"> </w:t>
      </w:r>
    </w:p>
    <w:p w:rsidR="00054C58" w:rsidRPr="00B51170" w:rsidRDefault="0018213F" w:rsidP="0018213F">
      <w:pPr>
        <w:jc w:val="center"/>
        <w:rPr>
          <w:rFonts w:ascii="Times New Roman" w:hAnsi="Times New Roman" w:cs="Times New Roman"/>
          <w:b/>
          <w:caps/>
          <w:spacing w:val="0"/>
          <w:w w:val="100"/>
        </w:rPr>
      </w:pPr>
      <w:r w:rsidRPr="00B51170">
        <w:rPr>
          <w:rFonts w:ascii="Times New Roman" w:hAnsi="Times New Roman" w:cs="Times New Roman"/>
          <w:b/>
          <w:caps/>
          <w:spacing w:val="0"/>
          <w:w w:val="100"/>
        </w:rPr>
        <w:lastRenderedPageBreak/>
        <w:t>Kiskőrös Város Önkormányzata</w:t>
      </w:r>
    </w:p>
    <w:p w:rsidR="002665D2" w:rsidRPr="00B51170" w:rsidRDefault="0018213F" w:rsidP="0018213F">
      <w:pPr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B51170">
        <w:rPr>
          <w:rFonts w:ascii="Times New Roman" w:hAnsi="Times New Roman" w:cs="Times New Roman"/>
          <w:b/>
          <w:caps/>
          <w:spacing w:val="0"/>
          <w:w w:val="100"/>
        </w:rPr>
        <w:t xml:space="preserve"> Képviselő-testületének</w:t>
      </w:r>
      <w:r w:rsidRPr="00B51170">
        <w:rPr>
          <w:rFonts w:ascii="Times New Roman" w:hAnsi="Times New Roman" w:cs="Times New Roman"/>
          <w:b/>
          <w:spacing w:val="0"/>
          <w:w w:val="100"/>
        </w:rPr>
        <w:t xml:space="preserve"> </w:t>
      </w:r>
    </w:p>
    <w:p w:rsidR="00A86E26" w:rsidRPr="00B51170" w:rsidRDefault="0018213F" w:rsidP="00A86E26">
      <w:pPr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B51170">
        <w:rPr>
          <w:rFonts w:ascii="Times New Roman" w:hAnsi="Times New Roman" w:cs="Times New Roman"/>
          <w:b/>
          <w:spacing w:val="0"/>
          <w:w w:val="100"/>
        </w:rPr>
        <w:t xml:space="preserve"> .</w:t>
      </w:r>
      <w:proofErr w:type="gramStart"/>
      <w:r w:rsidR="00500496" w:rsidRPr="00B51170">
        <w:rPr>
          <w:rFonts w:ascii="Times New Roman" w:hAnsi="Times New Roman" w:cs="Times New Roman"/>
          <w:b/>
          <w:spacing w:val="0"/>
          <w:w w:val="100"/>
        </w:rPr>
        <w:t>..</w:t>
      </w:r>
      <w:proofErr w:type="gramEnd"/>
      <w:r w:rsidR="00500496" w:rsidRPr="00B51170">
        <w:rPr>
          <w:rFonts w:ascii="Times New Roman" w:hAnsi="Times New Roman" w:cs="Times New Roman"/>
          <w:b/>
          <w:spacing w:val="0"/>
          <w:w w:val="100"/>
        </w:rPr>
        <w:t>/201</w:t>
      </w:r>
      <w:r w:rsidR="00CD1ACC" w:rsidRPr="00B51170">
        <w:rPr>
          <w:rFonts w:ascii="Times New Roman" w:hAnsi="Times New Roman" w:cs="Times New Roman"/>
          <w:b/>
          <w:spacing w:val="0"/>
          <w:w w:val="100"/>
        </w:rPr>
        <w:t>9</w:t>
      </w:r>
      <w:r w:rsidR="00500496" w:rsidRPr="00B51170">
        <w:rPr>
          <w:rFonts w:ascii="Times New Roman" w:hAnsi="Times New Roman" w:cs="Times New Roman"/>
          <w:b/>
          <w:spacing w:val="0"/>
          <w:w w:val="100"/>
        </w:rPr>
        <w:t>. (</w:t>
      </w:r>
      <w:proofErr w:type="gramStart"/>
      <w:r w:rsidR="00500496" w:rsidRPr="00B51170">
        <w:rPr>
          <w:rFonts w:ascii="Times New Roman" w:hAnsi="Times New Roman" w:cs="Times New Roman"/>
          <w:b/>
          <w:spacing w:val="0"/>
          <w:w w:val="100"/>
        </w:rPr>
        <w:t>..</w:t>
      </w:r>
      <w:r w:rsidRPr="00B51170">
        <w:rPr>
          <w:rFonts w:ascii="Times New Roman" w:hAnsi="Times New Roman" w:cs="Times New Roman"/>
          <w:b/>
          <w:spacing w:val="0"/>
          <w:w w:val="100"/>
        </w:rPr>
        <w:t>.</w:t>
      </w:r>
      <w:proofErr w:type="gramEnd"/>
      <w:r w:rsidRPr="00B51170">
        <w:rPr>
          <w:rFonts w:ascii="Times New Roman" w:hAnsi="Times New Roman" w:cs="Times New Roman"/>
          <w:b/>
          <w:spacing w:val="0"/>
          <w:w w:val="100"/>
        </w:rPr>
        <w:t>) önkormányzati</w:t>
      </w:r>
      <w:r w:rsidR="00A86E26" w:rsidRPr="00B51170">
        <w:rPr>
          <w:rFonts w:ascii="Times New Roman" w:hAnsi="Times New Roman" w:cs="Times New Roman"/>
          <w:b/>
          <w:spacing w:val="0"/>
          <w:w w:val="100"/>
        </w:rPr>
        <w:t xml:space="preserve"> </w:t>
      </w:r>
      <w:r w:rsidRPr="00B51170">
        <w:rPr>
          <w:rFonts w:ascii="Times New Roman" w:hAnsi="Times New Roman" w:cs="Times New Roman"/>
          <w:b/>
          <w:spacing w:val="0"/>
          <w:w w:val="100"/>
        </w:rPr>
        <w:t>rendelete</w:t>
      </w:r>
    </w:p>
    <w:p w:rsidR="0018213F" w:rsidRPr="00B51170" w:rsidRDefault="0018213F" w:rsidP="00A86E26">
      <w:pPr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B51170">
        <w:rPr>
          <w:rFonts w:ascii="Times New Roman" w:hAnsi="Times New Roman" w:cs="Times New Roman"/>
          <w:b/>
          <w:spacing w:val="0"/>
          <w:w w:val="100"/>
        </w:rPr>
        <w:t xml:space="preserve"> Kiskőrös Város Helyi Építési Szabályzatáról és Szabályozási Tervéről szóló 18/2015. (IX.10.) önkormányzati rendelet módosításáról</w:t>
      </w:r>
    </w:p>
    <w:p w:rsidR="009A2125" w:rsidRPr="00B51170" w:rsidRDefault="009A2125" w:rsidP="0018213F">
      <w:pPr>
        <w:jc w:val="center"/>
        <w:rPr>
          <w:rFonts w:ascii="Times New Roman" w:hAnsi="Times New Roman" w:cs="Times New Roman"/>
          <w:spacing w:val="0"/>
          <w:w w:val="100"/>
        </w:rPr>
      </w:pPr>
      <w:bookmarkStart w:id="1" w:name="_GoBack"/>
      <w:bookmarkEnd w:id="1"/>
      <w:r w:rsidRPr="00B51170">
        <w:rPr>
          <w:rFonts w:ascii="Times New Roman" w:hAnsi="Times New Roman" w:cs="Times New Roman"/>
          <w:spacing w:val="0"/>
          <w:w w:val="100"/>
        </w:rPr>
        <w:t>(tervezet)</w:t>
      </w:r>
    </w:p>
    <w:p w:rsidR="0018213F" w:rsidRPr="004905BD" w:rsidRDefault="0018213F" w:rsidP="0018213F">
      <w:pPr>
        <w:jc w:val="center"/>
        <w:rPr>
          <w:rFonts w:ascii="Times New Roman" w:hAnsi="Times New Roman" w:cs="Times New Roman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 xml:space="preserve">Kiskőrös Város Önkormányzatának Képviselő-testülete az épített környezet alakításáról és védelméről szóló 1997. évi LXXVIII. törvény 62. § (6) bekezdés 6. pontjában kapott felhatalmazás alapján, az Alaptörvény 32. cikk (1) bekezdés a) pontjában meghatározott feladatkörében eljárva, a településfejlesztési </w:t>
      </w:r>
      <w:proofErr w:type="gramStart"/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koncepcióról</w:t>
      </w:r>
      <w:proofErr w:type="gramEnd"/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, az integrált településfejlesztési stratégiáról és a településrendezési eszközökről, valamint egyes településrendezési sajátos jogintézményekről szóló 314/2012. (IX.8.) Korm. rendelet 42. § (4) bekezdés a) pontjában biztosított véleményezési jogkörben eljáró szervek, Kiskőrös Város Önkormányzata Képviselő-testületének az önkormányzat szervezeti és működési szabályzatáról szóló 24/2013. (XII.19.) önkormányzati rendelete 30. § (5) bekezdésének d) pontjában biztosított véleményezési jogkörben eljáró bizottságok véleményének kikérésével a következőket rendeli el: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  <w:lang w:eastAsia="hu-HU"/>
        </w:rPr>
      </w:pPr>
    </w:p>
    <w:p w:rsidR="00677931" w:rsidRPr="004905BD" w:rsidRDefault="00677931" w:rsidP="00677931">
      <w:pPr>
        <w:widowControl/>
        <w:spacing w:before="240" w:after="0"/>
        <w:contextualSpacing/>
        <w:jc w:val="center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  <w:t>1.  §</w:t>
      </w:r>
    </w:p>
    <w:p w:rsidR="00677931" w:rsidRPr="004905BD" w:rsidRDefault="00677931" w:rsidP="00677931">
      <w:pPr>
        <w:widowControl/>
        <w:spacing w:before="240" w:after="0"/>
        <w:contextualSpacing/>
        <w:rPr>
          <w:rFonts w:ascii="Times New Roman" w:eastAsia="Times New Roman" w:hAnsi="Times New Roman" w:cs="Times New Roman"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spacing w:val="0"/>
          <w:w w:val="100"/>
          <w:lang w:eastAsia="hu-HU"/>
        </w:rPr>
        <w:t>Kiskőrös Város Helyi Építési Szabályzatáról szóló 18/2015. (IX.10.) rendeletének (továbbiakban: Rendelet) 19. § címe helyébe a következő cím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:rsidR="00677931" w:rsidRPr="004905BD" w:rsidRDefault="00677931" w:rsidP="00677931">
      <w:pPr>
        <w:widowControl/>
        <w:spacing w:after="0"/>
        <w:ind w:left="502"/>
        <w:contextualSpacing/>
        <w:rPr>
          <w:rFonts w:ascii="Times New Roman" w:eastAsia="Times New Roman" w:hAnsi="Times New Roman" w:cs="Times New Roman"/>
          <w:i/>
          <w:spacing w:val="0"/>
          <w:w w:val="100"/>
          <w:lang w:eastAsia="hu-HU"/>
        </w:rPr>
      </w:pPr>
      <w:r w:rsidRPr="004905BD">
        <w:rPr>
          <w:rFonts w:ascii="Times New Roman" w:eastAsia="Times New Roman" w:hAnsi="Times New Roman" w:cs="Times New Roman"/>
          <w:i/>
          <w:spacing w:val="0"/>
          <w:w w:val="100"/>
          <w:lang w:eastAsia="hu-HU"/>
        </w:rPr>
        <w:t>„</w:t>
      </w:r>
      <w:r w:rsidRPr="004905BD">
        <w:rPr>
          <w:rFonts w:ascii="Times New Roman" w:eastAsia="Times New Roman" w:hAnsi="Times New Roman" w:cs="Times New Roman"/>
          <w:bCs/>
          <w:i/>
          <w:spacing w:val="0"/>
          <w:w w:val="100"/>
          <w:lang w:eastAsia="hu-HU"/>
        </w:rPr>
        <w:t>Egyéb építmények kialakítására vonatkozó előírások (járművek elhelyezése, kerítés)”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p w:rsidR="00677931" w:rsidRPr="004905BD" w:rsidRDefault="00677931" w:rsidP="00CB67AB">
      <w:pPr>
        <w:widowControl/>
        <w:spacing w:before="240"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b/>
          <w:spacing w:val="0"/>
          <w:w w:val="100"/>
        </w:rPr>
        <w:t>2. §</w:t>
      </w: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A Rendelet 11. § (4)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</w:rPr>
      </w:pPr>
      <w:r w:rsidRPr="004905BD">
        <w:rPr>
          <w:rFonts w:ascii="Times New Roman" w:hAnsi="Times New Roman" w:cs="Times New Roman"/>
          <w:i/>
          <w:spacing w:val="0"/>
          <w:w w:val="100"/>
        </w:rPr>
        <w:t xml:space="preserve">„(4) Az elektromos berendezések helyét és telepítési módját a beépítéssel összehangoltan kell meghatározni. A </w:t>
      </w:r>
      <w:proofErr w:type="gramStart"/>
      <w:r w:rsidRPr="004905BD">
        <w:rPr>
          <w:rFonts w:ascii="Times New Roman" w:hAnsi="Times New Roman" w:cs="Times New Roman"/>
          <w:i/>
          <w:spacing w:val="0"/>
          <w:w w:val="100"/>
        </w:rPr>
        <w:t>város központi</w:t>
      </w:r>
      <w:proofErr w:type="gramEnd"/>
      <w:r w:rsidRPr="004905BD">
        <w:rPr>
          <w:rFonts w:ascii="Times New Roman" w:hAnsi="Times New Roman" w:cs="Times New Roman"/>
          <w:i/>
          <w:spacing w:val="0"/>
          <w:w w:val="100"/>
        </w:rPr>
        <w:t xml:space="preserve"> belterületén az új elektromos berendezések megközelítését a szolgáltató számára biztosítani kell.”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  <w:highlight w:val="yellow"/>
        </w:rPr>
      </w:pPr>
    </w:p>
    <w:p w:rsidR="00CB67AB" w:rsidRPr="004905BD" w:rsidRDefault="00677931" w:rsidP="00CB67AB">
      <w:pPr>
        <w:widowControl/>
        <w:spacing w:before="240"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b/>
          <w:spacing w:val="0"/>
          <w:w w:val="100"/>
        </w:rPr>
        <w:t>3. §</w:t>
      </w: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 xml:space="preserve"> A Rendelet 25. § (11)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  <w:highlight w:val="yellow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  <w:highlight w:val="yellow"/>
        </w:rPr>
      </w:pPr>
      <w:r w:rsidRPr="004905BD">
        <w:rPr>
          <w:rFonts w:ascii="Times New Roman" w:hAnsi="Times New Roman" w:cs="Times New Roman"/>
          <w:i/>
          <w:spacing w:val="0"/>
          <w:w w:val="100"/>
        </w:rPr>
        <w:t>„(11) Nagyvárosias lakóterületen legfeljebb 1,2 méter magasságú kerítés létesíthető.”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</w:rPr>
      </w:pPr>
    </w:p>
    <w:p w:rsidR="00B40FA1" w:rsidRPr="004905BD" w:rsidRDefault="00677931" w:rsidP="00B40FA1">
      <w:pPr>
        <w:widowControl/>
        <w:spacing w:before="240"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b/>
          <w:spacing w:val="0"/>
          <w:w w:val="100"/>
        </w:rPr>
        <w:t>4. §</w:t>
      </w:r>
    </w:p>
    <w:p w:rsidR="00B40FA1" w:rsidRPr="004905BD" w:rsidRDefault="00B40FA1" w:rsidP="00B40FA1">
      <w:pPr>
        <w:widowControl/>
        <w:spacing w:before="240"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A Rendelet 26. § (27)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Cs/>
          <w:i/>
          <w:spacing w:val="0"/>
          <w:w w:val="100"/>
        </w:rPr>
      </w:pPr>
      <w:r w:rsidRPr="004905BD">
        <w:rPr>
          <w:rFonts w:ascii="Times New Roman" w:hAnsi="Times New Roman" w:cs="Times New Roman"/>
          <w:bCs/>
          <w:i/>
          <w:spacing w:val="0"/>
          <w:w w:val="100"/>
        </w:rPr>
        <w:t>„(27) Az Lk-1.1, az Lk-1.2 és az Lk-1.5 övezetek telkeit legalább 1,60 legfeljebb 1,80 méter magas kerítéssel kell határolni.”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031202" w:rsidRPr="004905BD" w:rsidRDefault="00677931" w:rsidP="008B69F7">
      <w:pPr>
        <w:widowControl/>
        <w:spacing w:before="240" w:after="0" w:line="276" w:lineRule="auto"/>
        <w:contextualSpacing/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4905BD">
        <w:rPr>
          <w:rFonts w:ascii="Times New Roman" w:hAnsi="Times New Roman" w:cs="Times New Roman"/>
          <w:b/>
          <w:spacing w:val="0"/>
          <w:w w:val="100"/>
        </w:rPr>
        <w:t>5. §</w:t>
      </w:r>
    </w:p>
    <w:p w:rsidR="008B69F7" w:rsidRPr="004905BD" w:rsidRDefault="008B69F7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A Rendelet 27. § (17)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Cs/>
          <w:i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Cs/>
          <w:i/>
          <w:spacing w:val="0"/>
          <w:w w:val="100"/>
        </w:rPr>
      </w:pPr>
      <w:r w:rsidRPr="004905BD">
        <w:rPr>
          <w:rFonts w:ascii="Times New Roman" w:hAnsi="Times New Roman" w:cs="Times New Roman"/>
          <w:bCs/>
          <w:i/>
          <w:spacing w:val="0"/>
          <w:w w:val="100"/>
        </w:rPr>
        <w:t>„(17) Az Lke-2.1 övezetben az előkert 10 méter.”</w:t>
      </w:r>
    </w:p>
    <w:p w:rsidR="009A48E0" w:rsidRPr="004905BD" w:rsidRDefault="009A48E0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9A48E0" w:rsidRPr="004905BD" w:rsidRDefault="00677931" w:rsidP="009A48E0">
      <w:pPr>
        <w:widowControl/>
        <w:spacing w:after="0"/>
        <w:contextualSpacing/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4905BD">
        <w:rPr>
          <w:rFonts w:ascii="Times New Roman" w:hAnsi="Times New Roman" w:cs="Times New Roman"/>
          <w:b/>
          <w:spacing w:val="0"/>
          <w:w w:val="100"/>
        </w:rPr>
        <w:t>6. §</w:t>
      </w:r>
    </w:p>
    <w:p w:rsidR="009A48E0" w:rsidRPr="004905BD" w:rsidRDefault="009A48E0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(1) A Rendelet 29. § (4) bekezdésében foglalt táblázat Vt-1.1 övezeti jelű 1. sora helyébe a következő sor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[Az építési övezetben az egyes telkek kialakíthatóságának és beépíthetőségének paraméterei a következők:]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„</w:t>
      </w:r>
    </w:p>
    <w:tbl>
      <w:tblPr>
        <w:tblW w:w="9072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170"/>
        <w:gridCol w:w="1500"/>
        <w:gridCol w:w="1515"/>
        <w:gridCol w:w="1830"/>
        <w:gridCol w:w="2262"/>
      </w:tblGrid>
      <w:tr w:rsidR="00677931" w:rsidRPr="004905BD" w:rsidTr="00A62AE0">
        <w:trPr>
          <w:trHeight w:val="405"/>
          <w:tblCellSpacing w:w="0" w:type="dxa"/>
        </w:trPr>
        <w:tc>
          <w:tcPr>
            <w:tcW w:w="9072" w:type="dxa"/>
            <w:gridSpan w:val="6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lastRenderedPageBreak/>
              <w:t>AZ ÉPÍTÉSI TELEK</w:t>
            </w:r>
          </w:p>
        </w:tc>
      </w:tr>
      <w:tr w:rsidR="00677931" w:rsidRPr="004905BD" w:rsidTr="00A62AE0">
        <w:trPr>
          <w:trHeight w:val="705"/>
          <w:tblCellSpacing w:w="0" w:type="dxa"/>
        </w:trPr>
        <w:tc>
          <w:tcPr>
            <w:tcW w:w="795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övezeti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 Jele</w:t>
            </w:r>
          </w:p>
        </w:tc>
        <w:tc>
          <w:tcPr>
            <w:tcW w:w="1170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beépítési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 módja</w:t>
            </w:r>
          </w:p>
        </w:tc>
        <w:tc>
          <w:tcPr>
            <w:tcW w:w="1500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 legkisebb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 xml:space="preserve">kialakítható területe 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m</w:t>
            </w: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vertAlign w:val="superscript"/>
                <w:lang w:eastAsia="hu-HU"/>
              </w:rPr>
              <w:t>2</w:t>
            </w:r>
          </w:p>
        </w:tc>
        <w:tc>
          <w:tcPr>
            <w:tcW w:w="1515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legnagyobb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beépítettsége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%</w:t>
            </w:r>
          </w:p>
        </w:tc>
        <w:tc>
          <w:tcPr>
            <w:tcW w:w="1830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proofErr w:type="gramStart"/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minimális</w:t>
            </w:r>
            <w:proofErr w:type="gramEnd"/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zöldfelületi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 xml:space="preserve">aránya 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%</w:t>
            </w:r>
          </w:p>
        </w:tc>
        <w:tc>
          <w:tcPr>
            <w:tcW w:w="2262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épületének legkisebb-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legnagyobb épületmagassága</w:t>
            </w:r>
          </w:p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lang w:eastAsia="hu-HU"/>
              </w:rPr>
              <w:t>(m)</w:t>
            </w:r>
          </w:p>
        </w:tc>
      </w:tr>
      <w:tr w:rsidR="00677931" w:rsidRPr="004905BD" w:rsidTr="00A62AE0">
        <w:trPr>
          <w:trHeight w:val="315"/>
          <w:tblCellSpacing w:w="0" w:type="dxa"/>
        </w:trPr>
        <w:tc>
          <w:tcPr>
            <w:tcW w:w="795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  <w:t>Vt-1.1</w:t>
            </w:r>
          </w:p>
        </w:tc>
        <w:tc>
          <w:tcPr>
            <w:tcW w:w="1170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  <w:t>O</w:t>
            </w:r>
          </w:p>
        </w:tc>
        <w:tc>
          <w:tcPr>
            <w:tcW w:w="1500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  <w:t>1000</w:t>
            </w:r>
          </w:p>
        </w:tc>
        <w:tc>
          <w:tcPr>
            <w:tcW w:w="1515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  <w:t>60</w:t>
            </w:r>
          </w:p>
        </w:tc>
        <w:tc>
          <w:tcPr>
            <w:tcW w:w="1830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  <w:t>20</w:t>
            </w:r>
          </w:p>
        </w:tc>
        <w:tc>
          <w:tcPr>
            <w:tcW w:w="2262" w:type="dxa"/>
            <w:vAlign w:val="center"/>
            <w:hideMark/>
          </w:tcPr>
          <w:p w:rsidR="00677931" w:rsidRPr="004905BD" w:rsidRDefault="00677931" w:rsidP="00677931">
            <w:pPr>
              <w:widowControl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</w:pPr>
            <w:r w:rsidRPr="004905BD">
              <w:rPr>
                <w:rFonts w:ascii="Times New Roman" w:eastAsia="Times New Roman" w:hAnsi="Times New Roman" w:cs="Times New Roman"/>
                <w:spacing w:val="0"/>
                <w:w w:val="100"/>
                <w:lang w:eastAsia="hu-HU"/>
              </w:rPr>
              <w:t xml:space="preserve"> &gt; 7,5</w:t>
            </w:r>
          </w:p>
        </w:tc>
      </w:tr>
    </w:tbl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„</w:t>
      </w:r>
    </w:p>
    <w:p w:rsidR="00684F54" w:rsidRPr="004905BD" w:rsidRDefault="00684F54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(2) A Rendelet 29. § (15)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</w:rPr>
      </w:pPr>
      <w:r w:rsidRPr="004905BD">
        <w:rPr>
          <w:rFonts w:ascii="Times New Roman" w:hAnsi="Times New Roman" w:cs="Times New Roman"/>
          <w:i/>
          <w:spacing w:val="0"/>
          <w:w w:val="100"/>
        </w:rPr>
        <w:t xml:space="preserve">„(15) Szomszédos főépítmények közterületre néző homlokzatmagassága között legfeljebb 1,0 m eltérés lehet. Ha a szomszédos épületek homlokzatmagassága között </w:t>
      </w:r>
      <w:r w:rsidRPr="004905BD">
        <w:rPr>
          <w:rFonts w:ascii="Times New Roman" w:hAnsi="Times New Roman" w:cs="Times New Roman"/>
          <w:b/>
          <w:i/>
          <w:spacing w:val="0"/>
          <w:w w:val="100"/>
        </w:rPr>
        <w:t>1 méternél</w:t>
      </w:r>
      <w:r w:rsidRPr="004905BD">
        <w:rPr>
          <w:rFonts w:ascii="Times New Roman" w:hAnsi="Times New Roman" w:cs="Times New Roman"/>
          <w:i/>
          <w:spacing w:val="0"/>
          <w:w w:val="100"/>
        </w:rPr>
        <w:t xml:space="preserve"> nagyobb az eltérés, akkor a magasabbhoz kell illeszkedni. (Az illesztési előírás az övezetre érvényes épületmagassági korlátokat nem írja felül!)”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(3) A Rendelet 29. § (17)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i/>
          <w:spacing w:val="0"/>
          <w:w w:val="100"/>
          <w:highlight w:val="yellow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  <w:highlight w:val="yellow"/>
        </w:rPr>
      </w:pPr>
      <w:r w:rsidRPr="004905BD">
        <w:rPr>
          <w:rFonts w:ascii="Times New Roman" w:hAnsi="Times New Roman" w:cs="Times New Roman"/>
          <w:bCs/>
          <w:i/>
          <w:spacing w:val="0"/>
          <w:w w:val="100"/>
        </w:rPr>
        <w:t xml:space="preserve">„(17) A </w:t>
      </w:r>
      <w:proofErr w:type="spellStart"/>
      <w:r w:rsidRPr="004905BD">
        <w:rPr>
          <w:rFonts w:ascii="Times New Roman" w:hAnsi="Times New Roman" w:cs="Times New Roman"/>
          <w:bCs/>
          <w:i/>
          <w:spacing w:val="0"/>
          <w:w w:val="100"/>
        </w:rPr>
        <w:t>Vt</w:t>
      </w:r>
      <w:proofErr w:type="spellEnd"/>
      <w:r w:rsidRPr="004905BD">
        <w:rPr>
          <w:rFonts w:ascii="Times New Roman" w:hAnsi="Times New Roman" w:cs="Times New Roman"/>
          <w:bCs/>
          <w:i/>
          <w:spacing w:val="0"/>
          <w:w w:val="100"/>
        </w:rPr>
        <w:t xml:space="preserve"> övezetekben </w:t>
      </w:r>
      <w:proofErr w:type="gramStart"/>
      <w:r w:rsidRPr="004905BD">
        <w:rPr>
          <w:rFonts w:ascii="Times New Roman" w:hAnsi="Times New Roman" w:cs="Times New Roman"/>
          <w:bCs/>
          <w:i/>
          <w:spacing w:val="0"/>
          <w:w w:val="100"/>
        </w:rPr>
        <w:t>garázs(</w:t>
      </w:r>
      <w:proofErr w:type="gramEnd"/>
      <w:r w:rsidRPr="004905BD">
        <w:rPr>
          <w:rFonts w:ascii="Times New Roman" w:hAnsi="Times New Roman" w:cs="Times New Roman"/>
          <w:bCs/>
          <w:i/>
          <w:spacing w:val="0"/>
          <w:w w:val="100"/>
        </w:rPr>
        <w:t>ok) a főépülettel egybe építve vagy annak takarásában helyezhető(k) el.”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 xml:space="preserve">(4) </w:t>
      </w:r>
      <w:r w:rsidRPr="004905BD">
        <w:rPr>
          <w:rFonts w:ascii="Times New Roman" w:hAnsi="Times New Roman" w:cs="Times New Roman"/>
          <w:spacing w:val="0"/>
          <w:w w:val="100"/>
        </w:rPr>
        <w:t>A Rendelet 29. §</w:t>
      </w:r>
      <w:r w:rsidRPr="004905BD">
        <w:rPr>
          <w:rFonts w:ascii="Times New Roman" w:eastAsiaTheme="minorEastAsia" w:hAnsi="Times New Roman" w:cs="Times New Roman"/>
          <w:spacing w:val="0"/>
          <w:w w:val="100"/>
        </w:rPr>
        <w:t xml:space="preserve"> </w:t>
      </w:r>
      <w:r w:rsidRPr="004905BD">
        <w:rPr>
          <w:rFonts w:ascii="Times New Roman" w:hAnsi="Times New Roman" w:cs="Times New Roman"/>
          <w:spacing w:val="0"/>
          <w:w w:val="100"/>
        </w:rPr>
        <w:t>a következő (31) (32) (33) és (34) bekezdésekkel egészül ki: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  <w:highlight w:val="yellow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 xml:space="preserve">„(31) Helyi területi védelemmel érintett területen </w:t>
      </w:r>
      <w:proofErr w:type="spellStart"/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Vt</w:t>
      </w:r>
      <w:proofErr w:type="spellEnd"/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 xml:space="preserve"> építési övezetekben a telkek legkisebb kialakítható terület mérete csak a telekhatár-rendezés során és </w:t>
      </w:r>
      <w:proofErr w:type="spellStart"/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max</w:t>
      </w:r>
      <w:proofErr w:type="spellEnd"/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. 30%-kal térhet el az építési övezetben meghatározott mérettől.”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  <w:highlight w:val="yellow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„(32) A településközpont területeken a kialakult telekosztású tömbökben a beépíthető telkek méretei és a kedvezőbb, a tömbben jellemző méret kialakítása szempontjából végzett telekhatár-rendezés esetében eltérhetnek az építési övezetben előírt legkisebb telekmérettől, de új telket alakítani és telket megosztani csak az építési övezetben előírt telekméretnek megfelelően lehet.”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„(33) A településközpont területeken, az építési övezetben meghatározott telek legkisebb kialakítható területét meg nem haladó méretű telken, legfeljebb a telekhányadnak megfelelő 150m2/önálló rendeltetési egységet tartalmazó épület építhető. Amennyiben az önálló rendeltetési egység nem egész szám, a kerekítés szabályait kell alkalmazni.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/>
          <w:i/>
          <w:spacing w:val="0"/>
          <w:w w:val="100"/>
        </w:rPr>
      </w:pPr>
      <w:r w:rsidRPr="004905BD">
        <w:rPr>
          <w:rFonts w:ascii="Times New Roman" w:hAnsi="Times New Roman" w:cs="Times New Roman"/>
          <w:i/>
          <w:spacing w:val="0"/>
          <w:w w:val="100"/>
        </w:rPr>
        <w:t>„(34)</w:t>
      </w:r>
      <w:r w:rsidRPr="004905BD">
        <w:rPr>
          <w:rFonts w:ascii="Times New Roman" w:hAnsi="Times New Roman" w:cs="Times New Roman"/>
          <w:b/>
          <w:i/>
          <w:spacing w:val="0"/>
          <w:w w:val="100"/>
        </w:rPr>
        <w:t xml:space="preserve"> </w:t>
      </w:r>
      <w:r w:rsidRPr="004905BD">
        <w:rPr>
          <w:rFonts w:ascii="Times New Roman" w:hAnsi="Times New Roman" w:cs="Times New Roman"/>
          <w:i/>
          <w:spacing w:val="0"/>
          <w:w w:val="100"/>
        </w:rPr>
        <w:t>A Vt-1.1 építési övezetben a Kölcsey utca északi térfalában az utcai homlokzatmagasság legfeljebb 5,5 m lehet.”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</w:p>
    <w:p w:rsidR="00EC648C" w:rsidRPr="004905BD" w:rsidRDefault="00677931" w:rsidP="00EC648C">
      <w:pPr>
        <w:widowControl/>
        <w:spacing w:before="240"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b/>
          <w:spacing w:val="0"/>
          <w:w w:val="100"/>
        </w:rPr>
        <w:t>7. §</w:t>
      </w:r>
    </w:p>
    <w:p w:rsidR="00EC648C" w:rsidRPr="004905BD" w:rsidRDefault="00EC648C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A Rendelet 34. § (15)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„(15) Az övezetben legfeljebb 1,60 méter magas kerítés alakítható ki.”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b/>
          <w:spacing w:val="0"/>
          <w:w w:val="100"/>
        </w:rPr>
      </w:pPr>
    </w:p>
    <w:p w:rsidR="00A367DE" w:rsidRPr="004905BD" w:rsidRDefault="00677931" w:rsidP="00A367DE">
      <w:pPr>
        <w:widowControl/>
        <w:spacing w:before="240"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b/>
          <w:spacing w:val="0"/>
          <w:w w:val="100"/>
        </w:rPr>
        <w:t>8. §</w:t>
      </w:r>
    </w:p>
    <w:p w:rsidR="00A367DE" w:rsidRPr="004905BD" w:rsidRDefault="00A367DE" w:rsidP="00677931">
      <w:pPr>
        <w:widowControl/>
        <w:spacing w:before="240" w:after="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</w:p>
    <w:p w:rsidR="00677931" w:rsidRPr="004905BD" w:rsidRDefault="00677931" w:rsidP="00677931">
      <w:pPr>
        <w:widowControl/>
        <w:spacing w:before="240"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A Rendelet 50. § (10) bekezdése helyébe a következő rendelkezés lép: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b/>
          <w:spacing w:val="0"/>
          <w:w w:val="100"/>
          <w:highlight w:val="yellow"/>
        </w:rPr>
      </w:pPr>
    </w:p>
    <w:p w:rsidR="00677931" w:rsidRPr="004905BD" w:rsidRDefault="00677931" w:rsidP="00677931">
      <w:pPr>
        <w:widowControl/>
        <w:spacing w:after="0"/>
        <w:contextualSpacing/>
        <w:rPr>
          <w:rFonts w:ascii="Times New Roman" w:eastAsiaTheme="minorEastAsia" w:hAnsi="Times New Roman" w:cs="Times New Roman"/>
          <w:i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 xml:space="preserve">„(10) A korlátozott használatú mezőgazdasági terület övezeteiben az épületek </w:t>
      </w:r>
      <w:proofErr w:type="spellStart"/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>szabadonállóan</w:t>
      </w:r>
      <w:proofErr w:type="spellEnd"/>
      <w:r w:rsidRPr="004905BD">
        <w:rPr>
          <w:rFonts w:ascii="Times New Roman" w:eastAsiaTheme="minorEastAsia" w:hAnsi="Times New Roman" w:cs="Times New Roman"/>
          <w:i/>
          <w:spacing w:val="0"/>
          <w:w w:val="100"/>
        </w:rPr>
        <w:t xml:space="preserve"> alakíthatók ki.”</w:t>
      </w:r>
    </w:p>
    <w:p w:rsidR="00677931" w:rsidRPr="004905BD" w:rsidRDefault="00677931" w:rsidP="00677931">
      <w:pPr>
        <w:widowControl/>
        <w:spacing w:after="0"/>
        <w:contextualSpacing/>
        <w:rPr>
          <w:rFonts w:ascii="Times New Roman" w:hAnsi="Times New Roman" w:cs="Times New Roman"/>
          <w:b/>
          <w:spacing w:val="0"/>
          <w:w w:val="100"/>
          <w:highlight w:val="yellow"/>
        </w:rPr>
      </w:pPr>
    </w:p>
    <w:p w:rsidR="00677931" w:rsidRPr="004905BD" w:rsidRDefault="00677931" w:rsidP="00677931">
      <w:pPr>
        <w:widowControl/>
        <w:spacing w:after="0" w:line="276" w:lineRule="auto"/>
        <w:contextualSpacing/>
        <w:rPr>
          <w:rFonts w:ascii="Times New Roman" w:eastAsiaTheme="minorEastAsia" w:hAnsi="Times New Roman" w:cs="Times New Roman"/>
          <w:b/>
          <w:spacing w:val="0"/>
          <w:w w:val="100"/>
        </w:rPr>
      </w:pPr>
    </w:p>
    <w:p w:rsidR="00D0279C" w:rsidRPr="004905BD" w:rsidRDefault="00677931" w:rsidP="00D0279C">
      <w:pPr>
        <w:widowControl/>
        <w:spacing w:after="0" w:line="276" w:lineRule="auto"/>
        <w:contextualSpacing/>
        <w:jc w:val="center"/>
        <w:rPr>
          <w:rFonts w:ascii="Times New Roman" w:eastAsiaTheme="minorEastAsia" w:hAnsi="Times New Roman" w:cs="Times New Roman"/>
          <w:b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b/>
          <w:spacing w:val="0"/>
          <w:w w:val="100"/>
        </w:rPr>
        <w:t>9. §</w:t>
      </w:r>
    </w:p>
    <w:p w:rsidR="00677931" w:rsidRPr="004905BD" w:rsidRDefault="00677931" w:rsidP="00677931">
      <w:pPr>
        <w:widowControl/>
        <w:spacing w:after="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Hatályát veszti a Rendelet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before="240" w:after="24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lastRenderedPageBreak/>
        <w:t>1. § (3) bekezdés 5. melléklet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before="240" w:after="24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2. § 9</w:t>
      </w:r>
      <w:proofErr w:type="gramStart"/>
      <w:r w:rsidRPr="004905BD">
        <w:rPr>
          <w:rFonts w:ascii="Times New Roman" w:eastAsiaTheme="minorEastAsia" w:hAnsi="Times New Roman" w:cs="Times New Roman"/>
          <w:spacing w:val="0"/>
          <w:w w:val="100"/>
        </w:rPr>
        <w:t>.,</w:t>
      </w:r>
      <w:proofErr w:type="gramEnd"/>
      <w:r w:rsidRPr="004905BD">
        <w:rPr>
          <w:rFonts w:ascii="Times New Roman" w:eastAsiaTheme="minorEastAsia" w:hAnsi="Times New Roman" w:cs="Times New Roman"/>
          <w:spacing w:val="0"/>
          <w:w w:val="100"/>
        </w:rPr>
        <w:t xml:space="preserve"> 11., 16. pontja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before="240" w:after="24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4. § (5) bekezdése, valamint (7)-(9) bekezdései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before="240" w:after="0" w:line="276" w:lineRule="auto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6. § (10)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11. § (12)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12. § (7) és (8) bekezdései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14. § (1) bekezdése, valamint (3)-(6) bekezdései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17. § (14) és (20)-(21) bekezdései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18. § (1) bekezdés, (3)-(7) bekezdései,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19. § (3)-(10) bekezdései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20. § (4) és (5) bekezdései, valamint (7)-(12) bekezdései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21. §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22. §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24. § (5)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25. § (7) bekezdés 2. mondata, valamint a (9)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26. § (11) bekezdése, (17)-(18), (21)-(22), (24) bekezdések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28. § (9)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29. § (14), (16), (22), valamint (26)-(27) és a (29) bekezdések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34. § (12)-(14) bekezdések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47. § (5)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49. § (11)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50. § (7) bekezdés b) pontja és a (12)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54. § (11) és (12)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59. § (3) bekezdése</w:t>
      </w:r>
    </w:p>
    <w:p w:rsidR="00677931" w:rsidRPr="004905BD" w:rsidRDefault="00677931" w:rsidP="00677931">
      <w:pPr>
        <w:widowControl/>
        <w:numPr>
          <w:ilvl w:val="0"/>
          <w:numId w:val="8"/>
        </w:numPr>
        <w:spacing w:after="0"/>
        <w:contextualSpacing/>
        <w:rPr>
          <w:rFonts w:ascii="Times New Roman" w:eastAsiaTheme="minorEastAsia" w:hAnsi="Times New Roman" w:cs="Times New Roman"/>
          <w:spacing w:val="0"/>
          <w:w w:val="100"/>
        </w:rPr>
      </w:pPr>
      <w:r w:rsidRPr="004905BD">
        <w:rPr>
          <w:rFonts w:ascii="Times New Roman" w:eastAsiaTheme="minorEastAsia" w:hAnsi="Times New Roman" w:cs="Times New Roman"/>
          <w:spacing w:val="0"/>
          <w:w w:val="100"/>
        </w:rPr>
        <w:t>59. § (7), valamint (11)-(13) bekezdése.</w:t>
      </w:r>
    </w:p>
    <w:p w:rsidR="00677931" w:rsidRPr="004905BD" w:rsidRDefault="00677931" w:rsidP="00677931">
      <w:pPr>
        <w:widowControl/>
        <w:spacing w:after="0"/>
        <w:ind w:left="862"/>
        <w:contextualSpacing/>
        <w:rPr>
          <w:rFonts w:ascii="Times New Roman" w:eastAsiaTheme="minorEastAsia" w:hAnsi="Times New Roman" w:cs="Times New Roman"/>
          <w:spacing w:val="0"/>
          <w:w w:val="100"/>
        </w:rPr>
      </w:pPr>
    </w:p>
    <w:p w:rsidR="00677931" w:rsidRPr="004905BD" w:rsidRDefault="00677931" w:rsidP="00D0279C">
      <w:pPr>
        <w:widowControl/>
        <w:spacing w:after="0"/>
        <w:ind w:left="862"/>
        <w:contextualSpacing/>
        <w:jc w:val="center"/>
        <w:rPr>
          <w:rFonts w:ascii="Times New Roman" w:eastAsiaTheme="minorEastAsia" w:hAnsi="Times New Roman" w:cs="Times New Roman"/>
          <w:spacing w:val="0"/>
          <w:w w:val="100"/>
        </w:rPr>
      </w:pPr>
    </w:p>
    <w:p w:rsidR="00D0279C" w:rsidRPr="004905BD" w:rsidRDefault="00677931" w:rsidP="00D0279C">
      <w:pPr>
        <w:widowControl/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4905BD">
        <w:rPr>
          <w:rFonts w:ascii="Times New Roman" w:hAnsi="Times New Roman" w:cs="Times New Roman"/>
          <w:b/>
          <w:spacing w:val="0"/>
          <w:w w:val="100"/>
        </w:rPr>
        <w:t>10. §</w:t>
      </w:r>
    </w:p>
    <w:p w:rsidR="00D0279C" w:rsidRPr="004905BD" w:rsidRDefault="00D0279C" w:rsidP="00D0279C">
      <w:pPr>
        <w:widowControl/>
        <w:spacing w:after="0" w:line="276" w:lineRule="auto"/>
        <w:contextualSpacing/>
        <w:jc w:val="center"/>
        <w:rPr>
          <w:rFonts w:ascii="Times New Roman" w:hAnsi="Times New Roman" w:cs="Times New Roman"/>
          <w:b/>
          <w:spacing w:val="0"/>
          <w:w w:val="100"/>
        </w:rPr>
      </w:pPr>
    </w:p>
    <w:p w:rsidR="00677931" w:rsidRPr="004905BD" w:rsidRDefault="00677931" w:rsidP="00677931">
      <w:pPr>
        <w:widowControl/>
        <w:spacing w:after="0" w:line="276" w:lineRule="auto"/>
        <w:contextualSpacing/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 xml:space="preserve"> A Rendelet 1. mellékletének részét képező jelmagyarázat helyébe jelen rendelet </w:t>
      </w:r>
      <w:r w:rsidR="00D0279C" w:rsidRPr="004905BD">
        <w:rPr>
          <w:rFonts w:ascii="Times New Roman" w:hAnsi="Times New Roman" w:cs="Times New Roman"/>
          <w:spacing w:val="0"/>
          <w:w w:val="100"/>
        </w:rPr>
        <w:t xml:space="preserve">1. </w:t>
      </w:r>
      <w:r w:rsidRPr="004905BD">
        <w:rPr>
          <w:rFonts w:ascii="Times New Roman" w:hAnsi="Times New Roman" w:cs="Times New Roman"/>
          <w:spacing w:val="0"/>
          <w:w w:val="100"/>
        </w:rPr>
        <w:t>mellékletében foglalt jelmagyarázat lép.</w:t>
      </w:r>
    </w:p>
    <w:p w:rsidR="0018213F" w:rsidRPr="004905BD" w:rsidRDefault="0018213F" w:rsidP="00525065">
      <w:pPr>
        <w:rPr>
          <w:rFonts w:ascii="Times New Roman" w:hAnsi="Times New Roman" w:cs="Times New Roman"/>
          <w:b/>
          <w:spacing w:val="0"/>
          <w:w w:val="100"/>
        </w:rPr>
      </w:pPr>
    </w:p>
    <w:p w:rsidR="00D0279C" w:rsidRPr="004905BD" w:rsidRDefault="00D0279C" w:rsidP="00D0279C">
      <w:pPr>
        <w:jc w:val="center"/>
        <w:rPr>
          <w:rFonts w:ascii="Times New Roman" w:hAnsi="Times New Roman" w:cs="Times New Roman"/>
          <w:b/>
          <w:spacing w:val="0"/>
          <w:w w:val="100"/>
        </w:rPr>
      </w:pPr>
      <w:r w:rsidRPr="004905BD">
        <w:rPr>
          <w:rFonts w:ascii="Times New Roman" w:hAnsi="Times New Roman" w:cs="Times New Roman"/>
          <w:b/>
          <w:spacing w:val="0"/>
          <w:w w:val="100"/>
        </w:rPr>
        <w:t>11. §</w:t>
      </w:r>
    </w:p>
    <w:p w:rsidR="00E91DB3" w:rsidRPr="004905BD" w:rsidRDefault="00E91DB3" w:rsidP="00D0279C">
      <w:pPr>
        <w:jc w:val="center"/>
        <w:rPr>
          <w:rFonts w:ascii="Times New Roman" w:hAnsi="Times New Roman" w:cs="Times New Roman"/>
          <w:b/>
          <w:spacing w:val="0"/>
          <w:w w:val="100"/>
        </w:rPr>
      </w:pPr>
    </w:p>
    <w:p w:rsidR="0018213F" w:rsidRPr="004905BD" w:rsidRDefault="0018213F" w:rsidP="0018213F">
      <w:pPr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(1) Ez a rendelet a kihirdetését követő napon lép hatályba.</w:t>
      </w:r>
    </w:p>
    <w:p w:rsidR="0018213F" w:rsidRPr="004905BD" w:rsidRDefault="0018213F" w:rsidP="0018213F">
      <w:pPr>
        <w:rPr>
          <w:rFonts w:ascii="Times New Roman" w:hAnsi="Times New Roman" w:cs="Times New Roman"/>
          <w:spacing w:val="0"/>
          <w:w w:val="100"/>
        </w:rPr>
      </w:pPr>
      <w:r w:rsidRPr="004905BD">
        <w:rPr>
          <w:rFonts w:ascii="Times New Roman" w:hAnsi="Times New Roman" w:cs="Times New Roman"/>
          <w:spacing w:val="0"/>
          <w:w w:val="100"/>
        </w:rPr>
        <w:t>(2) A rendelet rendelkezéseit a hatályba lépést megelőzően indult folyamatban lévő ügyekben is alkalmazni kell.</w:t>
      </w:r>
    </w:p>
    <w:p w:rsidR="0018213F" w:rsidRPr="004905BD" w:rsidRDefault="0018213F" w:rsidP="0018213F">
      <w:pPr>
        <w:rPr>
          <w:rFonts w:ascii="Times New Roman" w:hAnsi="Times New Roman" w:cs="Times New Roman"/>
          <w:spacing w:val="0"/>
          <w:w w:val="100"/>
        </w:rPr>
      </w:pPr>
    </w:p>
    <w:p w:rsidR="0018213F" w:rsidRPr="004905BD" w:rsidRDefault="0018213F" w:rsidP="0018213F">
      <w:pPr>
        <w:ind w:left="1416" w:firstLine="708"/>
        <w:rPr>
          <w:rFonts w:ascii="Times New Roman" w:hAnsi="Times New Roman" w:cs="Times New Roman"/>
        </w:rPr>
      </w:pPr>
    </w:p>
    <w:bookmarkEnd w:id="0"/>
    <w:p w:rsidR="0018213F" w:rsidRPr="004905BD" w:rsidRDefault="0018213F" w:rsidP="003506DB">
      <w:pPr>
        <w:widowControl/>
        <w:spacing w:after="0"/>
        <w:rPr>
          <w:rFonts w:ascii="Times New Roman" w:eastAsia="Times New Roman" w:hAnsi="Times New Roman" w:cs="Times New Roman"/>
          <w:b/>
          <w:spacing w:val="0"/>
          <w:w w:val="100"/>
          <w:lang w:eastAsia="hu-HU"/>
        </w:rPr>
      </w:pPr>
    </w:p>
    <w:sectPr w:rsidR="0018213F" w:rsidRPr="004905BD" w:rsidSect="006728D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4A45"/>
    <w:multiLevelType w:val="multilevel"/>
    <w:tmpl w:val="3B92D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9C4"/>
    <w:multiLevelType w:val="hybridMultilevel"/>
    <w:tmpl w:val="20386E6C"/>
    <w:lvl w:ilvl="0" w:tplc="F18A04B6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9F4BD3"/>
    <w:multiLevelType w:val="multilevel"/>
    <w:tmpl w:val="5B5C5EA6"/>
    <w:lvl w:ilvl="0">
      <w:start w:val="1"/>
      <w:numFmt w:val="upperRoman"/>
      <w:pStyle w:val="Cmsor1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pStyle w:val="Kpfelirat"/>
      <w:lvlText w:val="%2."/>
      <w:lvlJc w:val="left"/>
      <w:pPr>
        <w:ind w:left="1814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suff w:val="space"/>
      <w:lvlText w:val="%1.%3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F03D61"/>
    <w:multiLevelType w:val="hybridMultilevel"/>
    <w:tmpl w:val="E1C007B8"/>
    <w:name w:val="WW8Num1222222332222223"/>
    <w:lvl w:ilvl="0" w:tplc="D1E82EEE">
      <w:start w:val="1"/>
      <w:numFmt w:val="decimal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4CD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7" w15:restartNumberingAfterBreak="0">
    <w:nsid w:val="7FDF62E2"/>
    <w:multiLevelType w:val="hybridMultilevel"/>
    <w:tmpl w:val="A13CF7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D3"/>
    <w:rsid w:val="00020751"/>
    <w:rsid w:val="00031202"/>
    <w:rsid w:val="00037910"/>
    <w:rsid w:val="00054C58"/>
    <w:rsid w:val="00060F19"/>
    <w:rsid w:val="00067C2E"/>
    <w:rsid w:val="000A10BB"/>
    <w:rsid w:val="000C4701"/>
    <w:rsid w:val="000D712D"/>
    <w:rsid w:val="000E0ACE"/>
    <w:rsid w:val="000E1F81"/>
    <w:rsid w:val="000F538F"/>
    <w:rsid w:val="0010425A"/>
    <w:rsid w:val="00106215"/>
    <w:rsid w:val="0018213F"/>
    <w:rsid w:val="001A421D"/>
    <w:rsid w:val="001C5C7F"/>
    <w:rsid w:val="001E36E6"/>
    <w:rsid w:val="00201494"/>
    <w:rsid w:val="00245EFF"/>
    <w:rsid w:val="00252579"/>
    <w:rsid w:val="002665D2"/>
    <w:rsid w:val="0029201D"/>
    <w:rsid w:val="002A6C55"/>
    <w:rsid w:val="002C2280"/>
    <w:rsid w:val="002C4CAB"/>
    <w:rsid w:val="00320555"/>
    <w:rsid w:val="003506DB"/>
    <w:rsid w:val="00377EAD"/>
    <w:rsid w:val="003B17B6"/>
    <w:rsid w:val="003C7224"/>
    <w:rsid w:val="00413693"/>
    <w:rsid w:val="004148C8"/>
    <w:rsid w:val="00427333"/>
    <w:rsid w:val="00441821"/>
    <w:rsid w:val="0044419C"/>
    <w:rsid w:val="00455A49"/>
    <w:rsid w:val="00484C91"/>
    <w:rsid w:val="004905BD"/>
    <w:rsid w:val="004D2087"/>
    <w:rsid w:val="004D2D97"/>
    <w:rsid w:val="004D37E1"/>
    <w:rsid w:val="004F1D30"/>
    <w:rsid w:val="00500496"/>
    <w:rsid w:val="0051010D"/>
    <w:rsid w:val="00525065"/>
    <w:rsid w:val="00534AB3"/>
    <w:rsid w:val="00534C4E"/>
    <w:rsid w:val="00572935"/>
    <w:rsid w:val="00575FAA"/>
    <w:rsid w:val="005D3EE6"/>
    <w:rsid w:val="005F218A"/>
    <w:rsid w:val="00633B3D"/>
    <w:rsid w:val="006429B9"/>
    <w:rsid w:val="006728D3"/>
    <w:rsid w:val="00677931"/>
    <w:rsid w:val="00680305"/>
    <w:rsid w:val="00684F54"/>
    <w:rsid w:val="006932C5"/>
    <w:rsid w:val="0069710F"/>
    <w:rsid w:val="006C3E36"/>
    <w:rsid w:val="00700A59"/>
    <w:rsid w:val="00712185"/>
    <w:rsid w:val="00715F1E"/>
    <w:rsid w:val="007313AF"/>
    <w:rsid w:val="00735812"/>
    <w:rsid w:val="00757F22"/>
    <w:rsid w:val="00761C1F"/>
    <w:rsid w:val="00781CFB"/>
    <w:rsid w:val="00783DA6"/>
    <w:rsid w:val="007952F0"/>
    <w:rsid w:val="00795FBE"/>
    <w:rsid w:val="007B5621"/>
    <w:rsid w:val="00815E02"/>
    <w:rsid w:val="00873FBF"/>
    <w:rsid w:val="0087466B"/>
    <w:rsid w:val="00896321"/>
    <w:rsid w:val="008B69F7"/>
    <w:rsid w:val="008C527F"/>
    <w:rsid w:val="008D156D"/>
    <w:rsid w:val="008F3E15"/>
    <w:rsid w:val="009000D6"/>
    <w:rsid w:val="00910F82"/>
    <w:rsid w:val="0091430A"/>
    <w:rsid w:val="00946EB4"/>
    <w:rsid w:val="00983C9E"/>
    <w:rsid w:val="0099497C"/>
    <w:rsid w:val="00994BD9"/>
    <w:rsid w:val="009A11F0"/>
    <w:rsid w:val="009A2125"/>
    <w:rsid w:val="009A48E0"/>
    <w:rsid w:val="009C390A"/>
    <w:rsid w:val="00A20004"/>
    <w:rsid w:val="00A24C2A"/>
    <w:rsid w:val="00A367DE"/>
    <w:rsid w:val="00A40F39"/>
    <w:rsid w:val="00A426FD"/>
    <w:rsid w:val="00A67EA1"/>
    <w:rsid w:val="00A86E26"/>
    <w:rsid w:val="00AA1153"/>
    <w:rsid w:val="00AA42C8"/>
    <w:rsid w:val="00AD0955"/>
    <w:rsid w:val="00AD547D"/>
    <w:rsid w:val="00AD6227"/>
    <w:rsid w:val="00AE66E9"/>
    <w:rsid w:val="00B40FA1"/>
    <w:rsid w:val="00B51170"/>
    <w:rsid w:val="00B51269"/>
    <w:rsid w:val="00B51FC6"/>
    <w:rsid w:val="00B627CF"/>
    <w:rsid w:val="00B94245"/>
    <w:rsid w:val="00B94E5B"/>
    <w:rsid w:val="00BC6CDD"/>
    <w:rsid w:val="00BC7071"/>
    <w:rsid w:val="00BD219B"/>
    <w:rsid w:val="00BE1EC9"/>
    <w:rsid w:val="00BF04ED"/>
    <w:rsid w:val="00BF56BD"/>
    <w:rsid w:val="00C00361"/>
    <w:rsid w:val="00C31FE3"/>
    <w:rsid w:val="00C5789B"/>
    <w:rsid w:val="00C65A0A"/>
    <w:rsid w:val="00C7334E"/>
    <w:rsid w:val="00C9115B"/>
    <w:rsid w:val="00CA4536"/>
    <w:rsid w:val="00CB67AB"/>
    <w:rsid w:val="00CC6A55"/>
    <w:rsid w:val="00CD1ACC"/>
    <w:rsid w:val="00CE3245"/>
    <w:rsid w:val="00D0279C"/>
    <w:rsid w:val="00D11606"/>
    <w:rsid w:val="00D27214"/>
    <w:rsid w:val="00D3092A"/>
    <w:rsid w:val="00D34E2F"/>
    <w:rsid w:val="00D86B80"/>
    <w:rsid w:val="00D923B4"/>
    <w:rsid w:val="00D97898"/>
    <w:rsid w:val="00DF116E"/>
    <w:rsid w:val="00E473D6"/>
    <w:rsid w:val="00E7098F"/>
    <w:rsid w:val="00E91DB3"/>
    <w:rsid w:val="00EB0F24"/>
    <w:rsid w:val="00EC648C"/>
    <w:rsid w:val="00EC73C8"/>
    <w:rsid w:val="00EE4531"/>
    <w:rsid w:val="00F01914"/>
    <w:rsid w:val="00F21A4A"/>
    <w:rsid w:val="00F43A7A"/>
    <w:rsid w:val="00F5395E"/>
    <w:rsid w:val="00F53B8E"/>
    <w:rsid w:val="00F54DF9"/>
    <w:rsid w:val="00F5761F"/>
    <w:rsid w:val="00FA4ACD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E991"/>
  <w15:docId w15:val="{BC4E3E65-FFE2-4C07-A22E-E9994F21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3"/>
    <w:qFormat/>
    <w:rsid w:val="006728D3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paragraph" w:styleId="Cmsor1">
    <w:name w:val="heading 1"/>
    <w:basedOn w:val="Norml"/>
    <w:next w:val="Cmsor2"/>
    <w:link w:val="Cmsor1Char"/>
    <w:qFormat/>
    <w:rsid w:val="006728D3"/>
    <w:pPr>
      <w:keepNext/>
      <w:keepLines/>
      <w:widowControl/>
      <w:numPr>
        <w:numId w:val="3"/>
      </w:numPr>
      <w:suppressAutoHyphens/>
      <w:spacing w:after="240"/>
      <w:ind w:left="357" w:hanging="357"/>
      <w:jc w:val="left"/>
      <w:outlineLvl w:val="0"/>
    </w:pPr>
    <w:rPr>
      <w:rFonts w:eastAsia="Dotum"/>
      <w:bCs/>
      <w:caps/>
      <w:noProof/>
      <w:w w:val="80"/>
      <w:sz w:val="36"/>
      <w:szCs w:val="28"/>
      <w:lang w:eastAsia="hu-HU"/>
    </w:rPr>
  </w:style>
  <w:style w:type="paragraph" w:styleId="Cmsor2">
    <w:name w:val="heading 2"/>
    <w:basedOn w:val="Norml"/>
    <w:next w:val="Cmsor3"/>
    <w:link w:val="Cmsor2Char"/>
    <w:uiPriority w:val="1"/>
    <w:qFormat/>
    <w:rsid w:val="006728D3"/>
    <w:pPr>
      <w:keepNext/>
      <w:keepLines/>
      <w:widowControl/>
      <w:spacing w:before="240" w:after="120"/>
      <w:jc w:val="left"/>
      <w:outlineLvl w:val="1"/>
    </w:pPr>
    <w:rPr>
      <w:rFonts w:eastAsia="Times New Roman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28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728D3"/>
    <w:rPr>
      <w:rFonts w:ascii="Calibri" w:eastAsia="Dotum" w:hAnsi="Calibri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6728D3"/>
    <w:rPr>
      <w:rFonts w:ascii="Calibri" w:eastAsia="Times New Roman" w:hAnsi="Calibri" w:cs="Adobe Arabic"/>
      <w:bCs/>
      <w:caps/>
      <w:spacing w:val="-2"/>
      <w:w w:val="80"/>
      <w:sz w:val="32"/>
      <w:szCs w:val="26"/>
    </w:rPr>
  </w:style>
  <w:style w:type="paragraph" w:styleId="Listaszerbekezds">
    <w:name w:val="List Paragraph"/>
    <w:basedOn w:val="Norml"/>
    <w:uiPriority w:val="34"/>
    <w:qFormat/>
    <w:rsid w:val="006728D3"/>
    <w:pPr>
      <w:numPr>
        <w:numId w:val="1"/>
      </w:numPr>
      <w:tabs>
        <w:tab w:val="left" w:pos="284"/>
      </w:tabs>
    </w:p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6728D3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paragraph" w:customStyle="1" w:styleId="Kpfelirat">
    <w:name w:val="Képfelirat"/>
    <w:basedOn w:val="Norml"/>
    <w:next w:val="Norml"/>
    <w:uiPriority w:val="4"/>
    <w:qFormat/>
    <w:rsid w:val="006728D3"/>
    <w:pPr>
      <w:numPr>
        <w:ilvl w:val="1"/>
        <w:numId w:val="3"/>
      </w:numPr>
      <w:jc w:val="right"/>
    </w:pPr>
    <w:rPr>
      <w:i/>
      <w:sz w:val="20"/>
    </w:rPr>
  </w:style>
  <w:style w:type="paragraph" w:customStyle="1" w:styleId="Tablazatfelirat">
    <w:name w:val="Tablazat felirat"/>
    <w:basedOn w:val="Kpfelirat"/>
    <w:next w:val="Norml"/>
    <w:uiPriority w:val="4"/>
    <w:qFormat/>
    <w:rsid w:val="006728D3"/>
    <w:pPr>
      <w:numPr>
        <w:ilvl w:val="3"/>
      </w:numPr>
    </w:pPr>
  </w:style>
  <w:style w:type="paragraph" w:customStyle="1" w:styleId="tablazatszoveg">
    <w:name w:val="tablazat szoveg"/>
    <w:basedOn w:val="Norml"/>
    <w:uiPriority w:val="3"/>
    <w:qFormat/>
    <w:rsid w:val="006728D3"/>
    <w:pPr>
      <w:jc w:val="left"/>
    </w:pPr>
    <w:rPr>
      <w:sz w:val="20"/>
      <w:szCs w:val="20"/>
    </w:rPr>
  </w:style>
  <w:style w:type="paragraph" w:styleId="Szvegtrzs">
    <w:name w:val="Body Text"/>
    <w:basedOn w:val="Norml"/>
    <w:link w:val="SzvegtrzsChar"/>
    <w:unhideWhenUsed/>
    <w:rsid w:val="006728D3"/>
    <w:pPr>
      <w:widowControl/>
      <w:spacing w:after="200" w:line="276" w:lineRule="auto"/>
    </w:pPr>
    <w:rPr>
      <w:rFonts w:ascii="Arial Narrow" w:hAnsi="Arial Narrow" w:cs="Times New Roman"/>
      <w:spacing w:val="0"/>
      <w:w w:val="100"/>
    </w:rPr>
  </w:style>
  <w:style w:type="character" w:customStyle="1" w:styleId="SzvegtrzsChar">
    <w:name w:val="Szövegtörzs Char"/>
    <w:basedOn w:val="Bekezdsalapbettpusa"/>
    <w:link w:val="Szvegtrzs"/>
    <w:rsid w:val="006728D3"/>
    <w:rPr>
      <w:rFonts w:ascii="Arial Narrow" w:eastAsia="Calibri" w:hAnsi="Arial Narrow" w:cs="Times New Roma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28D3"/>
    <w:rPr>
      <w:rFonts w:asciiTheme="majorHAnsi" w:eastAsiaTheme="majorEastAsia" w:hAnsiTheme="majorHAnsi" w:cstheme="majorBidi"/>
      <w:b/>
      <w:bCs/>
      <w:color w:val="4F81BD" w:themeColor="accent1"/>
      <w:spacing w:val="-2"/>
      <w:w w:val="9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28D3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28D3"/>
    <w:rPr>
      <w:rFonts w:ascii="Tahoma" w:eastAsia="Calibri" w:hAnsi="Tahoma" w:cs="Tahoma"/>
      <w:spacing w:val="-2"/>
      <w:w w:val="9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1255</Words>
  <Characters>8665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Lucza Alexandra</cp:lastModifiedBy>
  <cp:revision>31</cp:revision>
  <cp:lastPrinted>2017-02-06T12:13:00Z</cp:lastPrinted>
  <dcterms:created xsi:type="dcterms:W3CDTF">2019-10-04T08:01:00Z</dcterms:created>
  <dcterms:modified xsi:type="dcterms:W3CDTF">2019-10-08T07:24:00Z</dcterms:modified>
</cp:coreProperties>
</file>