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B84E" w14:textId="3E78C33B"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w:t>
      </w:r>
      <w:r w:rsidR="00591F83">
        <w:rPr>
          <w:bCs/>
          <w:i/>
          <w:iCs/>
          <w:sz w:val="22"/>
          <w:szCs w:val="22"/>
        </w:rPr>
        <w:t>….</w:t>
      </w:r>
      <w:r w:rsidR="0042033F">
        <w:rPr>
          <w:bCs/>
          <w:i/>
          <w:iCs/>
          <w:sz w:val="22"/>
          <w:szCs w:val="22"/>
        </w:rPr>
        <w:t>/20</w:t>
      </w:r>
      <w:r w:rsidR="008A3003">
        <w:rPr>
          <w:bCs/>
          <w:i/>
          <w:iCs/>
          <w:sz w:val="22"/>
          <w:szCs w:val="22"/>
        </w:rPr>
        <w:t>2</w:t>
      </w:r>
      <w:r w:rsidR="00591F83">
        <w:rPr>
          <w:bCs/>
          <w:i/>
          <w:iCs/>
          <w:sz w:val="22"/>
          <w:szCs w:val="22"/>
        </w:rPr>
        <w:t>1</w:t>
      </w:r>
      <w:r w:rsidR="000E2CB6" w:rsidRPr="00651EF8">
        <w:rPr>
          <w:bCs/>
          <w:i/>
          <w:iCs/>
          <w:sz w:val="22"/>
          <w:szCs w:val="22"/>
        </w:rPr>
        <w:t>.</w:t>
      </w:r>
      <w:r w:rsidRPr="00651EF8">
        <w:rPr>
          <w:bCs/>
          <w:i/>
          <w:iCs/>
          <w:sz w:val="22"/>
          <w:szCs w:val="22"/>
        </w:rPr>
        <w:t xml:space="preserve"> sz. Képv.test. határozathoz</w:t>
      </w:r>
    </w:p>
    <w:p w14:paraId="238A6540" w14:textId="77777777" w:rsidR="00AC1EE9" w:rsidRPr="002B01F1" w:rsidRDefault="00AC1EE9"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3E2E8E1B" w14:textId="77777777" w:rsidR="00E81ADD" w:rsidRPr="00C138A4" w:rsidRDefault="00E81ADD" w:rsidP="00CA64F9">
            <w:pPr>
              <w:rPr>
                <w:sz w:val="22"/>
                <w:szCs w:val="22"/>
              </w:rPr>
            </w:pPr>
            <w:r w:rsidRPr="00C138A4">
              <w:rPr>
                <w:sz w:val="22"/>
                <w:szCs w:val="22"/>
              </w:rPr>
              <w:t>- vagyongazdálkodási referens</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lastRenderedPageBreak/>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77777777" w:rsidR="00E81ADD" w:rsidRPr="00840ADD" w:rsidRDefault="00840ADD" w:rsidP="00710844">
            <w:pPr>
              <w:rPr>
                <w:sz w:val="22"/>
                <w:szCs w:val="22"/>
              </w:rPr>
            </w:pPr>
            <w:r>
              <w:rPr>
                <w:sz w:val="22"/>
                <w:szCs w:val="22"/>
              </w:rPr>
              <w:t xml:space="preserve">- </w:t>
            </w:r>
            <w:r w:rsidR="004743BB" w:rsidRPr="00710844">
              <w:rPr>
                <w:sz w:val="22"/>
                <w:szCs w:val="22"/>
              </w:rPr>
              <w:t>osztályadm</w:t>
            </w:r>
            <w:r w:rsidR="00E67980" w:rsidRPr="00710844">
              <w:rPr>
                <w:sz w:val="22"/>
                <w:szCs w:val="22"/>
              </w:rPr>
              <w:t>i</w:t>
            </w:r>
            <w:r w:rsidR="004743BB" w:rsidRPr="00710844">
              <w:rPr>
                <w:sz w:val="22"/>
                <w:szCs w:val="22"/>
              </w:rPr>
              <w:t>nisztrátor</w:t>
            </w: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 xml:space="preserve">A jegyző a folyamatosan, vagy </w:t>
      </w:r>
      <w:proofErr w:type="spellStart"/>
      <w:r w:rsidRPr="00C138A4">
        <w:rPr>
          <w:sz w:val="22"/>
          <w:szCs w:val="22"/>
        </w:rPr>
        <w:t>esetenként</w:t>
      </w:r>
      <w:proofErr w:type="spellEnd"/>
      <w:r w:rsidRPr="00C138A4">
        <w:rPr>
          <w:sz w:val="22"/>
          <w:szCs w:val="22"/>
        </w:rPr>
        <w:t xml:space="preserve">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lastRenderedPageBreak/>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lastRenderedPageBreak/>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 xml:space="preserve">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w:t>
      </w:r>
      <w:r w:rsidRPr="00C138A4">
        <w:rPr>
          <w:sz w:val="22"/>
          <w:szCs w:val="22"/>
        </w:rPr>
        <w:lastRenderedPageBreak/>
        <w:t>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77777777"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lastRenderedPageBreak/>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lastRenderedPageBreak/>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lastRenderedPageBreak/>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 xml:space="preserve">felelős az osztály feladatkörébe tartozó, ill. </w:t>
      </w:r>
      <w:proofErr w:type="spellStart"/>
      <w:r w:rsidRPr="00C138A4">
        <w:rPr>
          <w:sz w:val="22"/>
          <w:szCs w:val="22"/>
        </w:rPr>
        <w:t>esetenként</w:t>
      </w:r>
      <w:proofErr w:type="spellEnd"/>
      <w:r w:rsidRPr="00C138A4">
        <w:rPr>
          <w:sz w:val="22"/>
          <w:szCs w:val="22"/>
        </w:rPr>
        <w:t xml:space="preserve">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77777777"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t>4.4.</w:t>
      </w:r>
      <w:r w:rsidRPr="00C138A4">
        <w:rPr>
          <w:sz w:val="22"/>
          <w:szCs w:val="22"/>
        </w:rPr>
        <w:tab/>
        <w:t xml:space="preserve">Osztályonként jelenléti ívet kell vezetni. A munkaidő kezdetekor és befejezésekor a hivatal valamennyi dolgozója a jelenléti ívet kézjegyével tartozik ellátni, megjelölve az érkezés, ill. </w:t>
      </w:r>
      <w:r w:rsidRPr="00C138A4">
        <w:rPr>
          <w:sz w:val="22"/>
          <w:szCs w:val="22"/>
        </w:rPr>
        <w:lastRenderedPageBreak/>
        <w:t>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77777777" w:rsidR="00CC65C3" w:rsidRPr="00C138A4" w:rsidRDefault="00CC65C3" w:rsidP="007F5A9D">
      <w:pPr>
        <w:ind w:left="1134"/>
        <w:jc w:val="both"/>
        <w:rPr>
          <w:sz w:val="22"/>
          <w:szCs w:val="22"/>
        </w:rPr>
      </w:pPr>
      <w:r w:rsidRPr="00C138A4">
        <w:rPr>
          <w:sz w:val="22"/>
          <w:szCs w:val="22"/>
        </w:rPr>
        <w:t>„Kiskőrös Város Önkormányzata</w:t>
      </w:r>
    </w:p>
    <w:p w14:paraId="15228556" w14:textId="77777777" w:rsidR="00CC65C3" w:rsidRPr="00C138A4" w:rsidRDefault="00CC65C3" w:rsidP="007F5A9D">
      <w:pPr>
        <w:ind w:left="1134"/>
        <w:jc w:val="both"/>
        <w:rPr>
          <w:sz w:val="22"/>
          <w:szCs w:val="22"/>
        </w:rPr>
      </w:pPr>
      <w:r w:rsidRPr="00C138A4">
        <w:rPr>
          <w:sz w:val="22"/>
          <w:szCs w:val="22"/>
        </w:rPr>
        <w:t>Bács-Kiskun Megye”</w:t>
      </w: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7777777" w:rsidR="00CC65C3" w:rsidRPr="00C138A4" w:rsidRDefault="00CC65C3" w:rsidP="00EC670A">
      <w:pPr>
        <w:ind w:left="1134"/>
        <w:jc w:val="both"/>
        <w:rPr>
          <w:sz w:val="22"/>
          <w:szCs w:val="22"/>
        </w:rPr>
      </w:pPr>
      <w:r w:rsidRPr="00C138A4">
        <w:rPr>
          <w:sz w:val="22"/>
          <w:szCs w:val="22"/>
        </w:rPr>
        <w:t>„Kiskőrös Város Képviselő-testülete</w:t>
      </w:r>
    </w:p>
    <w:p w14:paraId="343C84BC" w14:textId="77777777" w:rsidR="00CC65C3" w:rsidRPr="00C138A4" w:rsidRDefault="00CC65C3" w:rsidP="00EC670A">
      <w:pPr>
        <w:ind w:left="1134"/>
        <w:jc w:val="both"/>
        <w:rPr>
          <w:sz w:val="22"/>
          <w:szCs w:val="22"/>
        </w:rPr>
      </w:pPr>
      <w:r w:rsidRPr="00C138A4">
        <w:rPr>
          <w:sz w:val="22"/>
          <w:szCs w:val="22"/>
        </w:rPr>
        <w:t>Bács-Kiskun Megye”</w:t>
      </w: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77777777" w:rsidR="00CC65C3" w:rsidRPr="00C138A4" w:rsidRDefault="00CC65C3" w:rsidP="00EC670A">
      <w:pPr>
        <w:ind w:left="1134"/>
        <w:jc w:val="both"/>
        <w:rPr>
          <w:sz w:val="22"/>
          <w:szCs w:val="22"/>
        </w:rPr>
      </w:pPr>
      <w:r w:rsidRPr="00C138A4">
        <w:rPr>
          <w:sz w:val="22"/>
          <w:szCs w:val="22"/>
        </w:rPr>
        <w:t xml:space="preserve">„Kiskőrös Város Polgármestere </w:t>
      </w:r>
    </w:p>
    <w:p w14:paraId="4015F247" w14:textId="77777777" w:rsidR="00CC65C3" w:rsidRPr="00C138A4" w:rsidRDefault="00CC65C3" w:rsidP="00EC670A">
      <w:pPr>
        <w:ind w:left="1134"/>
        <w:jc w:val="both"/>
        <w:rPr>
          <w:sz w:val="22"/>
          <w:szCs w:val="22"/>
        </w:rPr>
      </w:pPr>
      <w:r w:rsidRPr="00C138A4">
        <w:rPr>
          <w:sz w:val="22"/>
          <w:szCs w:val="22"/>
        </w:rPr>
        <w:t>Bács-Kiskun Megye”</w:t>
      </w: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77777777" w:rsidR="00CC65C3" w:rsidRPr="00C138A4" w:rsidRDefault="00CC65C3" w:rsidP="00EC670A">
      <w:pPr>
        <w:ind w:left="1134"/>
        <w:jc w:val="both"/>
        <w:rPr>
          <w:sz w:val="22"/>
          <w:szCs w:val="22"/>
        </w:rPr>
      </w:pPr>
      <w:r w:rsidRPr="00C138A4">
        <w:rPr>
          <w:sz w:val="22"/>
          <w:szCs w:val="22"/>
        </w:rPr>
        <w:t>„Kiskőrös Város Jegyzője</w:t>
      </w:r>
    </w:p>
    <w:p w14:paraId="79DDB2FE" w14:textId="77777777" w:rsidR="00CC65C3" w:rsidRPr="00C138A4" w:rsidRDefault="00CC65C3" w:rsidP="00EC670A">
      <w:pPr>
        <w:ind w:left="1134"/>
        <w:jc w:val="both"/>
        <w:rPr>
          <w:sz w:val="22"/>
          <w:szCs w:val="22"/>
        </w:rPr>
      </w:pPr>
      <w:r w:rsidRPr="00C138A4">
        <w:rPr>
          <w:sz w:val="22"/>
          <w:szCs w:val="22"/>
        </w:rPr>
        <w:t>Bács-Kiskun Megye”</w:t>
      </w: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lastRenderedPageBreak/>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77777777" w:rsidR="00CC65C3" w:rsidRPr="00C138A4" w:rsidRDefault="00CC65C3" w:rsidP="00EC670A">
      <w:pPr>
        <w:ind w:left="1134"/>
        <w:jc w:val="both"/>
        <w:rPr>
          <w:sz w:val="22"/>
          <w:szCs w:val="22"/>
        </w:rPr>
      </w:pPr>
      <w:r w:rsidRPr="00C138A4">
        <w:rPr>
          <w:sz w:val="22"/>
          <w:szCs w:val="22"/>
        </w:rPr>
        <w:t>„Kiskőrösi Polgármesteri Hivatal</w:t>
      </w:r>
    </w:p>
    <w:p w14:paraId="75A3EC60" w14:textId="77777777" w:rsidR="00CC65C3" w:rsidRPr="00C138A4" w:rsidRDefault="00CC65C3" w:rsidP="00EC670A">
      <w:pPr>
        <w:ind w:left="1134"/>
        <w:jc w:val="both"/>
        <w:rPr>
          <w:sz w:val="22"/>
          <w:szCs w:val="22"/>
        </w:rPr>
      </w:pPr>
      <w:r w:rsidRPr="00C138A4">
        <w:rPr>
          <w:sz w:val="22"/>
          <w:szCs w:val="22"/>
        </w:rPr>
        <w:t>Bács-Kiskun Megye”</w:t>
      </w:r>
    </w:p>
    <w:p w14:paraId="2CB0042E" w14:textId="77777777" w:rsidR="00CC65C3" w:rsidRPr="00C138A4" w:rsidRDefault="00CC65C3" w:rsidP="00EC670A">
      <w:pPr>
        <w:ind w:left="1134" w:hanging="567"/>
        <w:jc w:val="both"/>
        <w:rPr>
          <w:color w:val="FF0000"/>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 xml:space="preserve">A helyi önkormányzat belső ellenőrzése keretében gondoskodni kell a felügyelt </w:t>
      </w:r>
      <w:proofErr w:type="spellStart"/>
      <w:r w:rsidRPr="00C138A4">
        <w:rPr>
          <w:sz w:val="22"/>
          <w:szCs w:val="22"/>
        </w:rPr>
        <w:t>költségevetési</w:t>
      </w:r>
      <w:proofErr w:type="spellEnd"/>
      <w:r w:rsidRPr="00C138A4">
        <w:rPr>
          <w:sz w:val="22"/>
          <w:szCs w:val="22"/>
        </w:rPr>
        <w:t xml:space="preserve">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xml:space="preserve">. 17. §-a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 xml:space="preserve">A belső ellenőrzés a tevékenysége során szabályszerűségi, pénzügyi, rendszer- és teljesítmény-ellenőrzéseket, illetve informatikai </w:t>
      </w:r>
      <w:proofErr w:type="spellStart"/>
      <w:r w:rsidRPr="00C138A4">
        <w:rPr>
          <w:sz w:val="22"/>
          <w:szCs w:val="22"/>
        </w:rPr>
        <w:t>rendszerleellenőrzéseket</w:t>
      </w:r>
      <w:proofErr w:type="spellEnd"/>
      <w:r w:rsidRPr="00C138A4">
        <w:rPr>
          <w:sz w:val="22"/>
          <w:szCs w:val="22"/>
        </w:rPr>
        <w: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r>
      <w:r w:rsidRPr="00C138A4">
        <w:rPr>
          <w:sz w:val="22"/>
          <w:szCs w:val="22"/>
        </w:rPr>
        <w:lastRenderedPageBreak/>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7876B68A"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52382">
        <w:rPr>
          <w:sz w:val="22"/>
          <w:szCs w:val="22"/>
        </w:rPr>
        <w:t>Hivatal</w:t>
      </w:r>
      <w:r w:rsidR="00FF7B0E" w:rsidRPr="00E52382">
        <w:rPr>
          <w:sz w:val="22"/>
          <w:szCs w:val="22"/>
        </w:rPr>
        <w:t xml:space="preserve"> …..</w:t>
      </w:r>
      <w:r w:rsidR="006A0EE6" w:rsidRPr="00E52382">
        <w:rPr>
          <w:sz w:val="22"/>
          <w:szCs w:val="22"/>
        </w:rPr>
        <w:t xml:space="preserve"> /20</w:t>
      </w:r>
      <w:r w:rsidR="009366FD" w:rsidRPr="00E52382">
        <w:rPr>
          <w:sz w:val="22"/>
          <w:szCs w:val="22"/>
        </w:rPr>
        <w:t>2</w:t>
      </w:r>
      <w:r w:rsidR="001216EE" w:rsidRPr="00E52382">
        <w:rPr>
          <w:sz w:val="22"/>
          <w:szCs w:val="22"/>
        </w:rPr>
        <w:t>1</w:t>
      </w:r>
      <w:r w:rsidR="007A7511" w:rsidRPr="00E52382">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1216EE" w:rsidRPr="00FF7B0E">
        <w:rPr>
          <w:sz w:val="22"/>
          <w:szCs w:val="22"/>
        </w:rPr>
        <w:t>1</w:t>
      </w:r>
      <w:r w:rsidR="009366FD" w:rsidRPr="00FF7B0E">
        <w:rPr>
          <w:sz w:val="22"/>
          <w:szCs w:val="22"/>
        </w:rPr>
        <w:t xml:space="preserve">. </w:t>
      </w:r>
      <w:r w:rsidR="001216EE" w:rsidRPr="00FF7B0E">
        <w:rPr>
          <w:sz w:val="22"/>
          <w:szCs w:val="22"/>
        </w:rPr>
        <w:t>október</w:t>
      </w:r>
      <w:r w:rsidR="00AD71B6" w:rsidRPr="00FF7B0E">
        <w:rPr>
          <w:sz w:val="22"/>
          <w:szCs w:val="22"/>
        </w:rPr>
        <w:t xml:space="preserve"> </w:t>
      </w:r>
      <w:r w:rsidR="00BF7A07" w:rsidRPr="00FF7B0E">
        <w:rPr>
          <w:sz w:val="22"/>
          <w:szCs w:val="22"/>
        </w:rPr>
        <w:t>0</w:t>
      </w:r>
      <w:r w:rsidR="00B96370" w:rsidRPr="00FF7B0E">
        <w:rPr>
          <w:sz w:val="22"/>
          <w:szCs w:val="22"/>
        </w:rPr>
        <w:t>1</w:t>
      </w:r>
      <w:r w:rsidRPr="00FF7B0E">
        <w:rPr>
          <w:sz w:val="22"/>
          <w:szCs w:val="22"/>
        </w:rPr>
        <w:t>.</w:t>
      </w:r>
      <w:r w:rsidRPr="00C138A4">
        <w:rPr>
          <w:sz w:val="22"/>
          <w:szCs w:val="22"/>
        </w:rPr>
        <w:t xml:space="preserve"> napján lép hatályba.</w:t>
      </w:r>
    </w:p>
    <w:p w14:paraId="287F6EAF" w14:textId="77777777" w:rsidR="0040749E" w:rsidRDefault="0040749E"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47B2D2F1" w14:textId="77777777"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32533182" w14:textId="77777777"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F34C6CF" w14:textId="77777777" w:rsidTr="00313FC1">
        <w:tc>
          <w:tcPr>
            <w:tcW w:w="288" w:type="pct"/>
            <w:vAlign w:val="center"/>
          </w:tcPr>
          <w:p w14:paraId="0FA40F08"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14:paraId="23E1671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14:paraId="193CDE9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14:paraId="4933BF15" w14:textId="77777777" w:rsidTr="00313FC1">
        <w:tc>
          <w:tcPr>
            <w:tcW w:w="288" w:type="pct"/>
            <w:vAlign w:val="center"/>
          </w:tcPr>
          <w:p w14:paraId="36BBDF9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77777777"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lastRenderedPageBreak/>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77777777"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48268100">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77777777" w:rsidR="00056C7A" w:rsidRDefault="00056C7A" w:rsidP="00056C7A">
      <w:pPr>
        <w:numPr>
          <w:ilvl w:val="0"/>
          <w:numId w:val="9"/>
        </w:numPr>
        <w:jc w:val="both"/>
        <w:rPr>
          <w:sz w:val="22"/>
          <w:szCs w:val="22"/>
        </w:rPr>
      </w:pPr>
      <w:r w:rsidRPr="009A7CE3">
        <w:rPr>
          <w:sz w:val="22"/>
          <w:szCs w:val="22"/>
        </w:rPr>
        <w:t>Vagyongazdálkodási referens</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67993519" w14:textId="77777777" w:rsidR="00934877" w:rsidRPr="009A7CE3" w:rsidRDefault="00E9741B" w:rsidP="00056C7A">
      <w:pPr>
        <w:numPr>
          <w:ilvl w:val="0"/>
          <w:numId w:val="9"/>
        </w:numPr>
        <w:jc w:val="both"/>
        <w:rPr>
          <w:sz w:val="22"/>
          <w:szCs w:val="22"/>
        </w:rPr>
      </w:pPr>
      <w:r>
        <w:rPr>
          <w:sz w:val="22"/>
          <w:szCs w:val="22"/>
        </w:rPr>
        <w:t>Osz</w:t>
      </w:r>
      <w:r w:rsidR="00934877">
        <w:rPr>
          <w:sz w:val="22"/>
          <w:szCs w:val="22"/>
        </w:rPr>
        <w:t>tályadminisztrátor</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551048C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DDD6" w14:textId="77777777" w:rsidR="00AB69C2" w:rsidRDefault="00AB69C2">
      <w:r>
        <w:separator/>
      </w:r>
    </w:p>
  </w:endnote>
  <w:endnote w:type="continuationSeparator" w:id="0">
    <w:p w14:paraId="3B0D557F" w14:textId="77777777" w:rsidR="00AB69C2" w:rsidRDefault="00A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BEFF" w14:textId="77777777" w:rsidR="00AB69C2" w:rsidRDefault="00AB69C2">
      <w:r>
        <w:separator/>
      </w:r>
    </w:p>
  </w:footnote>
  <w:footnote w:type="continuationSeparator" w:id="0">
    <w:p w14:paraId="25727460" w14:textId="77777777" w:rsidR="00AB69C2" w:rsidRDefault="00AB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4"/>
  </w:num>
  <w:num w:numId="2">
    <w:abstractNumId w:val="7"/>
  </w:num>
  <w:num w:numId="3">
    <w:abstractNumId w:val="11"/>
  </w:num>
  <w:num w:numId="4">
    <w:abstractNumId w:val="12"/>
  </w:num>
  <w:num w:numId="5">
    <w:abstractNumId w:val="17"/>
  </w:num>
  <w:num w:numId="6">
    <w:abstractNumId w:val="10"/>
  </w:num>
  <w:num w:numId="7">
    <w:abstractNumId w:val="5"/>
  </w:num>
  <w:num w:numId="8">
    <w:abstractNumId w:val="15"/>
  </w:num>
  <w:num w:numId="9">
    <w:abstractNumId w:val="19"/>
  </w:num>
  <w:num w:numId="10">
    <w:abstractNumId w:val="16"/>
  </w:num>
  <w:num w:numId="11">
    <w:abstractNumId w:val="6"/>
  </w:num>
  <w:num w:numId="12">
    <w:abstractNumId w:val="8"/>
  </w:num>
  <w:num w:numId="13">
    <w:abstractNumId w:val="3"/>
  </w:num>
  <w:num w:numId="14">
    <w:abstractNumId w:val="4"/>
  </w:num>
  <w:num w:numId="15">
    <w:abstractNumId w:val="13"/>
  </w:num>
  <w:num w:numId="16">
    <w:abstractNumId w:val="0"/>
  </w:num>
  <w:num w:numId="17">
    <w:abstractNumId w:val="18"/>
  </w:num>
  <w:num w:numId="18">
    <w:abstractNumId w:val="2"/>
  </w:num>
  <w:num w:numId="19">
    <w:abstractNumId w:val="1"/>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64E3"/>
    <w:rsid w:val="001101FD"/>
    <w:rsid w:val="0011041E"/>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37FC"/>
    <w:rsid w:val="004042E3"/>
    <w:rsid w:val="00406238"/>
    <w:rsid w:val="00406E1C"/>
    <w:rsid w:val="0040749E"/>
    <w:rsid w:val="00411947"/>
    <w:rsid w:val="00412B44"/>
    <w:rsid w:val="00414084"/>
    <w:rsid w:val="004178BF"/>
    <w:rsid w:val="004179BE"/>
    <w:rsid w:val="00417C3B"/>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660C"/>
    <w:rsid w:val="004D7CB8"/>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11A"/>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E3191"/>
    <w:rsid w:val="00DE3550"/>
    <w:rsid w:val="00DE3E73"/>
    <w:rsid w:val="00DE77DE"/>
    <w:rsid w:val="00DF01DB"/>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2382"/>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8B0"/>
    <w:rsid w:val="00EE1C7F"/>
    <w:rsid w:val="00EE2E40"/>
    <w:rsid w:val="00EE4326"/>
    <w:rsid w:val="00EE6681"/>
    <w:rsid w:val="00EF11E9"/>
    <w:rsid w:val="00EF4301"/>
    <w:rsid w:val="00EF5AC1"/>
    <w:rsid w:val="00EF620E"/>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A796CD9F-80C3-49AF-A606-08C8282D2AB1}">
      <dgm:prSet/>
      <dgm:spPr/>
      <dgm:t>
        <a:bodyPr/>
        <a:lstStyle/>
        <a:p>
          <a:r>
            <a:rPr lang="hu-HU"/>
            <a:t>Osztályadminisztrátor</a:t>
          </a:r>
        </a:p>
      </dgm:t>
    </dgm:pt>
    <dgm:pt modelId="{F1680BA6-159B-4547-A4A3-EC2A77160302}" type="parTrans" cxnId="{7E982AE5-74FA-431C-B976-59176A27308D}">
      <dgm:prSet/>
      <dgm:spPr/>
      <dgm:t>
        <a:bodyPr/>
        <a:lstStyle/>
        <a:p>
          <a:endParaRPr lang="hu-HU"/>
        </a:p>
      </dgm:t>
    </dgm:pt>
    <dgm:pt modelId="{62AF82F1-ED6C-43BD-BDC1-EEC33D56412B}" type="sibTrans" cxnId="{7E982AE5-74FA-431C-B976-59176A27308D}">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E2D02620-6E48-4D16-BFE8-363119F70653}" type="pres">
      <dgm:prSet presAssocID="{14C502A1-05DD-4313-B2B0-8606F0D6DC33}" presName="Name23" presStyleLbl="parChTrans1D4" presStyleIdx="0"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0" presStyleCnt="32"/>
      <dgm:spPr/>
    </dgm:pt>
    <dgm:pt modelId="{AA48B3FA-B168-47C3-B1C3-0606B8FBA767}" type="pres">
      <dgm:prSet presAssocID="{2901B8E3-407A-4D1D-ABC5-52D36031B78D}" presName="text4" presStyleLbl="fgAcc4" presStyleIdx="0"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1"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1" presStyleCnt="32"/>
      <dgm:spPr/>
    </dgm:pt>
    <dgm:pt modelId="{8494FDFF-2B25-4EEF-952E-2F706E84447F}" type="pres">
      <dgm:prSet presAssocID="{457FF0C9-3014-4AEB-ADC4-4E270E5FE9BE}" presName="text4" presStyleLbl="fgAcc4" presStyleIdx="1"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2"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2"/>
      <dgm:spPr/>
    </dgm:pt>
    <dgm:pt modelId="{EAB21B1B-5D94-464D-8807-72C1D2B4C21F}" type="pres">
      <dgm:prSet presAssocID="{076F44AB-AE60-406D-A680-77648A6B6037}" presName="text4" presStyleLbl="fgAcc4" presStyleIdx="2"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2"/>
      <dgm:spPr/>
    </dgm:pt>
    <dgm:pt modelId="{21D57AF0-C5E9-47A4-AC0D-ACC2E71B39D9}" type="pres">
      <dgm:prSet presAssocID="{8D07C222-9ED7-4DCF-B85D-2413BC9E2BA2}" presName="text4" presStyleLbl="fgAcc4" presStyleIdx="3"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4"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4" presStyleCnt="32"/>
      <dgm:spPr/>
    </dgm:pt>
    <dgm:pt modelId="{E8233023-B8A7-41ED-A6C1-73BA5B5F2066}" type="pres">
      <dgm:prSet presAssocID="{D60C7570-DBF3-40E6-A4AD-3C056974666E}" presName="text4" presStyleLbl="fgAcc4" presStyleIdx="4"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5"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5" presStyleCnt="32"/>
      <dgm:spPr/>
    </dgm:pt>
    <dgm:pt modelId="{4E8D50CB-C6FF-4BCA-8516-E7B20E5DDE96}" type="pres">
      <dgm:prSet presAssocID="{DCB232EA-56EA-4731-B430-99DB390F32C5}" presName="text4" presStyleLbl="fgAcc4" presStyleIdx="5"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6"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6" presStyleCnt="32"/>
      <dgm:spPr/>
    </dgm:pt>
    <dgm:pt modelId="{3345A303-B58C-479C-9F66-67CEAE42C4FF}" type="pres">
      <dgm:prSet presAssocID="{6ABDCB07-9994-48A3-900B-7F6DC4F6A06E}" presName="text4" presStyleLbl="fgAcc4" presStyleIdx="6"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7"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7" presStyleCnt="32"/>
      <dgm:spPr/>
    </dgm:pt>
    <dgm:pt modelId="{56B00B46-ED3C-45D1-A6D9-95DAE36E9AA8}" type="pres">
      <dgm:prSet presAssocID="{09B9CBA6-4587-458C-817C-538D73B1BB40}" presName="text4" presStyleLbl="fgAcc4" presStyleIdx="7"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8"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8" presStyleCnt="32"/>
      <dgm:spPr/>
    </dgm:pt>
    <dgm:pt modelId="{78BB3040-E773-43DB-8325-15B573701A01}" type="pres">
      <dgm:prSet presAssocID="{2AF3D730-4742-4E37-968A-66041A90FFCE}" presName="text4" presStyleLbl="fgAcc4" presStyleIdx="8"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9"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9" presStyleCnt="32"/>
      <dgm:spPr/>
    </dgm:pt>
    <dgm:pt modelId="{5602C5B9-9E6A-4F26-A639-35C805ED6BDD}" type="pres">
      <dgm:prSet presAssocID="{60471A10-BEEA-4DD2-9726-739D5D141DF0}" presName="text4" presStyleLbl="fgAcc4" presStyleIdx="9"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0"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0" presStyleCnt="32"/>
      <dgm:spPr/>
    </dgm:pt>
    <dgm:pt modelId="{A1B6E185-7284-4A60-A269-B7734141B7F9}" type="pres">
      <dgm:prSet presAssocID="{827204A1-5E75-4F4D-AC14-FA0377A45BFA}" presName="text4" presStyleLbl="fgAcc4" presStyleIdx="10"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1"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1" presStyleCnt="32"/>
      <dgm:spPr/>
    </dgm:pt>
    <dgm:pt modelId="{3C0B868F-B0F2-40E4-900C-9E5E30C59C51}" type="pres">
      <dgm:prSet presAssocID="{60BD4E35-4750-4343-A82F-9830DC5B7A42}" presName="text4" presStyleLbl="fgAcc4" presStyleIdx="11"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2"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2" presStyleCnt="32"/>
      <dgm:spPr/>
    </dgm:pt>
    <dgm:pt modelId="{D261721C-68BA-4C41-A54B-2B732E547768}" type="pres">
      <dgm:prSet presAssocID="{EA1A2FFB-316E-42DB-90A1-39AC5DBA94BC}" presName="text4" presStyleLbl="fgAcc4" presStyleIdx="12"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3"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3" presStyleCnt="32"/>
      <dgm:spPr/>
    </dgm:pt>
    <dgm:pt modelId="{05A40932-E6B2-4AD4-83AA-B53E915B37CD}" type="pres">
      <dgm:prSet presAssocID="{1AB54BF8-ACC2-4222-9ACC-3D632328DEA5}" presName="text4" presStyleLbl="fgAcc4" presStyleIdx="13"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4"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4" presStyleCnt="32"/>
      <dgm:spPr/>
    </dgm:pt>
    <dgm:pt modelId="{643A1850-112F-4452-A31A-923CF49404ED}" type="pres">
      <dgm:prSet presAssocID="{F43DFE2A-3AFD-489C-9E24-6987A704577A}" presName="text4" presStyleLbl="fgAcc4" presStyleIdx="14" presStyleCnt="32">
        <dgm:presLayoutVars>
          <dgm:chPref val="3"/>
        </dgm:presLayoutVars>
      </dgm:prSet>
      <dgm:spPr/>
    </dgm:pt>
    <dgm:pt modelId="{2F3883DE-CFBF-47B1-8D1A-73F067879BC0}" type="pres">
      <dgm:prSet presAssocID="{F43DFE2A-3AFD-489C-9E24-6987A704577A}" presName="hierChild5" presStyleCnt="0"/>
      <dgm:spPr/>
    </dgm:pt>
    <dgm:pt modelId="{E87FD8C6-6D63-4114-A3F0-6C4521812385}" type="pres">
      <dgm:prSet presAssocID="{F1680BA6-159B-4547-A4A3-EC2A77160302}" presName="Name23" presStyleLbl="parChTrans1D4" presStyleIdx="15" presStyleCnt="32"/>
      <dgm:spPr/>
    </dgm:pt>
    <dgm:pt modelId="{BBEEE62D-E48C-49FA-BD01-572FDBB2A562}" type="pres">
      <dgm:prSet presAssocID="{A796CD9F-80C3-49AF-A606-08C8282D2AB1}" presName="hierRoot4" presStyleCnt="0"/>
      <dgm:spPr/>
    </dgm:pt>
    <dgm:pt modelId="{C34B332D-969C-405D-AAAE-648B13C49E11}" type="pres">
      <dgm:prSet presAssocID="{A796CD9F-80C3-49AF-A606-08C8282D2AB1}" presName="composite4" presStyleCnt="0"/>
      <dgm:spPr/>
    </dgm:pt>
    <dgm:pt modelId="{1D14F3FF-54F3-4AD6-B969-D3BC8BE3BC2E}" type="pres">
      <dgm:prSet presAssocID="{A796CD9F-80C3-49AF-A606-08C8282D2AB1}" presName="background4" presStyleLbl="node4" presStyleIdx="15" presStyleCnt="32"/>
      <dgm:spPr/>
    </dgm:pt>
    <dgm:pt modelId="{725F95E8-0B66-490D-9156-4D321353C454}" type="pres">
      <dgm:prSet presAssocID="{A796CD9F-80C3-49AF-A606-08C8282D2AB1}" presName="text4" presStyleLbl="fgAcc4" presStyleIdx="15" presStyleCnt="32">
        <dgm:presLayoutVars>
          <dgm:chPref val="3"/>
        </dgm:presLayoutVars>
      </dgm:prSet>
      <dgm:spPr/>
    </dgm:pt>
    <dgm:pt modelId="{70AE7EB9-1287-42D3-9691-A26E90ED463F}" type="pres">
      <dgm:prSet presAssocID="{A796CD9F-80C3-49AF-A606-08C8282D2AB1}"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47CD3B15-E29C-4E31-AD94-F8D778570C8E}" type="presOf" srcId="{A796CD9F-80C3-49AF-A606-08C8282D2AB1}" destId="{725F95E8-0B66-490D-9156-4D321353C454}"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9A53611B-6D5E-4225-8932-0C72D449A42B}" type="presOf" srcId="{DCB232EA-56EA-4731-B430-99DB390F32C5}" destId="{4E8D50CB-C6FF-4BCA-8516-E7B20E5DDE96}"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0B104D1C-E5AE-49BF-8DFB-77D9997D2AD2}" type="presOf" srcId="{8D07C222-9ED7-4DCF-B85D-2413BC9E2BA2}" destId="{21D57AF0-C5E9-47A4-AC0D-ACC2E71B39D9}" srcOrd="0" destOrd="0" presId="urn:microsoft.com/office/officeart/2005/8/layout/hierarchy1"/>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81500635-BAAD-4984-86DD-1F48A8461DBB}" type="presOf" srcId="{2901B8E3-407A-4D1D-ABC5-52D36031B78D}" destId="{AA48B3FA-B168-47C3-B1C3-0606B8FBA767}"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F80E8C3A-000A-49A6-9ECF-26B60959B2F8}" type="presOf" srcId="{34EE2879-98AC-41B5-9C74-04FE59A339D0}" destId="{4DB2CD74-97CD-47E3-8985-D08DAB5D5ED7}" srcOrd="0" destOrd="0" presId="urn:microsoft.com/office/officeart/2005/8/layout/hierarchy1"/>
    <dgm:cxn modelId="{3CF1E83A-8581-453C-96AE-C95E9337EB36}" type="presOf" srcId="{076F44AB-AE60-406D-A680-77648A6B6037}" destId="{EAB21B1B-5D94-464D-8807-72C1D2B4C21F}"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069D5842-0EAA-4C2F-B4A3-D204785215F3}"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7B426467-2094-4A59-B897-DE11C22B0755}" type="presOf" srcId="{14C502A1-05DD-4313-B2B0-8606F0D6DC33}" destId="{E2D02620-6E48-4D16-BFE8-363119F70653}"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52D0C64C-2A79-460F-B455-088C2F522014}" type="presOf" srcId="{4E231226-846A-4325-855B-7DFAAFE21C7D}" destId="{5BFEA65F-D76D-407B-978B-4D65AC4B4CF9}"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A176FD6D-EF29-4C7D-A71A-3D7110510AA7}" type="presOf" srcId="{F1680BA6-159B-4547-A4A3-EC2A77160302}" destId="{E87FD8C6-6D63-4114-A3F0-6C4521812385}"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9EDD766E-E71D-4E2B-BB08-0A2CA178715A}" type="presOf" srcId="{457FF0C9-3014-4AEB-ADC4-4E270E5FE9BE}" destId="{8494FDFF-2B25-4EEF-952E-2F706E84447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7548B97C-CFC8-4EF3-997C-3FFB7DBDF0C9}" srcId="{8D07C222-9ED7-4DCF-B85D-2413BC9E2BA2}" destId="{D60C7570-DBF3-40E6-A4AD-3C056974666E}" srcOrd="0" destOrd="0" parTransId="{4DADE87E-34AD-4B3E-940A-B09A0F701FCC}" sibTransId="{0E033D5C-66D0-4566-8337-42D97E662608}"/>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CAD14686-A378-49A3-9694-68F123721C41}" type="presOf" srcId="{28BFE29D-1C95-4BB2-A223-49C834F2A1A6}" destId="{F5826424-69D8-4BB0-BE66-B33D6643EBD3}"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8BAB7997-4C21-42DC-8BAE-A5778230E9C5}" type="presOf" srcId="{C6EC2ED9-5C71-4942-9F91-246A7690B63C}" destId="{FA3E0034-5702-4F32-BAA4-2ADF64D9A18A}"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383F7BB9-E32E-4AD8-8F01-2D721AFFC6B2}" type="presOf" srcId="{2C898986-94F7-4784-905A-8F3906D53790}" destId="{2A296F42-E09E-4086-A511-C30D39793809}"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58843FC0-153B-478D-8F2C-1189C0D1F9F7}" type="presOf" srcId="{4DADE87E-34AD-4B3E-940A-B09A0F701FCC}" destId="{DAE5E97F-8933-4DAC-B6FD-AE42C9B4ABC6}"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38465ECA-4AC4-46E6-8519-71EFB512EEDB}" type="presOf" srcId="{DE32DEB7-D38A-4638-88E5-80D9175FBE96}" destId="{66EFE4ED-3003-4CB4-BBD7-8DAB0A49E910}" srcOrd="0" destOrd="0" presId="urn:microsoft.com/office/officeart/2005/8/layout/hierarchy1"/>
    <dgm:cxn modelId="{0C38B0CA-8029-4217-97A4-76004478B696}" type="presOf" srcId="{6ABDCB07-9994-48A3-900B-7F6DC4F6A06E}" destId="{3345A303-B58C-479C-9F66-67CEAE42C4FF}"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E982AE5-74FA-431C-B976-59176A27308D}" srcId="{F43DFE2A-3AFD-489C-9E24-6987A704577A}" destId="{A796CD9F-80C3-49AF-A606-08C8282D2AB1}" srcOrd="0" destOrd="0" parTransId="{F1680BA6-159B-4547-A4A3-EC2A77160302}" sibTransId="{62AF82F1-ED6C-43BD-BDC1-EEC33D56412B}"/>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EB665232-7752-4EB1-87FB-A609BE74DBC9}" type="presParOf" srcId="{AF5B5D92-D281-402B-8B07-5EA3D6E07177}" destId="{E2D02620-6E48-4D16-BFE8-363119F70653}" srcOrd="0" destOrd="0" presId="urn:microsoft.com/office/officeart/2005/8/layout/hierarchy1"/>
    <dgm:cxn modelId="{83EF1C86-9111-49E5-85EC-33B3C793C97B}" type="presParOf" srcId="{AF5B5D92-D281-402B-8B07-5EA3D6E07177}" destId="{A8E717EE-5ED2-4584-A789-6962258869E7}" srcOrd="1" destOrd="0" presId="urn:microsoft.com/office/officeart/2005/8/layout/hierarchy1"/>
    <dgm:cxn modelId="{92A3ECE6-16BE-4879-98EC-920C9801E460}" type="presParOf" srcId="{A8E717EE-5ED2-4584-A789-6962258869E7}" destId="{95F55A06-BC2B-4C2C-9A51-0CE97F420B32}" srcOrd="0" destOrd="0" presId="urn:microsoft.com/office/officeart/2005/8/layout/hierarchy1"/>
    <dgm:cxn modelId="{2CE86B00-6EA1-43B2-8C68-8DD895A9FDAC}" type="presParOf" srcId="{95F55A06-BC2B-4C2C-9A51-0CE97F420B32}" destId="{5C249CA5-DB6C-43AE-BF70-6D8B4A18428F}" srcOrd="0" destOrd="0" presId="urn:microsoft.com/office/officeart/2005/8/layout/hierarchy1"/>
    <dgm:cxn modelId="{47712D7E-7124-4D65-92EC-9BE246A3FC6C}" type="presParOf" srcId="{95F55A06-BC2B-4C2C-9A51-0CE97F420B32}" destId="{AA48B3FA-B168-47C3-B1C3-0606B8FBA767}" srcOrd="1" destOrd="0" presId="urn:microsoft.com/office/officeart/2005/8/layout/hierarchy1"/>
    <dgm:cxn modelId="{7B34F4B0-9403-4E65-8E81-DC2A14A92537}" type="presParOf" srcId="{A8E717EE-5ED2-4584-A789-6962258869E7}" destId="{B3EC7AA9-8AD7-4D46-85FE-7BDAFCD36E68}" srcOrd="1" destOrd="0" presId="urn:microsoft.com/office/officeart/2005/8/layout/hierarchy1"/>
    <dgm:cxn modelId="{07315AFB-7034-4750-8C59-350FCE0B0E3F}" type="presParOf" srcId="{B3EC7AA9-8AD7-4D46-85FE-7BDAFCD36E68}" destId="{66EFE4ED-3003-4CB4-BBD7-8DAB0A49E910}" srcOrd="0" destOrd="0" presId="urn:microsoft.com/office/officeart/2005/8/layout/hierarchy1"/>
    <dgm:cxn modelId="{76B8E562-892A-4261-9849-87035768E332}" type="presParOf" srcId="{B3EC7AA9-8AD7-4D46-85FE-7BDAFCD36E68}" destId="{463EB55D-57EA-442D-94E7-538F5DDC79E2}" srcOrd="1" destOrd="0" presId="urn:microsoft.com/office/officeart/2005/8/layout/hierarchy1"/>
    <dgm:cxn modelId="{E4812C62-958C-4437-8AF0-6228103C99BA}" type="presParOf" srcId="{463EB55D-57EA-442D-94E7-538F5DDC79E2}" destId="{D42875E8-D0EA-475F-9965-BBA2FAF2BFFB}" srcOrd="0" destOrd="0" presId="urn:microsoft.com/office/officeart/2005/8/layout/hierarchy1"/>
    <dgm:cxn modelId="{55A20BB6-9CEF-4BCF-9F9B-26D244D9176A}" type="presParOf" srcId="{D42875E8-D0EA-475F-9965-BBA2FAF2BFFB}" destId="{C41E50D4-8430-43C9-B677-98848925B5DE}" srcOrd="0" destOrd="0" presId="urn:microsoft.com/office/officeart/2005/8/layout/hierarchy1"/>
    <dgm:cxn modelId="{B2EA97E7-B0A6-4678-B58E-71C06AB3044F}" type="presParOf" srcId="{D42875E8-D0EA-475F-9965-BBA2FAF2BFFB}" destId="{8494FDFF-2B25-4EEF-952E-2F706E84447F}" srcOrd="1" destOrd="0" presId="urn:microsoft.com/office/officeart/2005/8/layout/hierarchy1"/>
    <dgm:cxn modelId="{3479AB32-DF86-4E6B-8AB2-743F4FEC39AE}" type="presParOf" srcId="{463EB55D-57EA-442D-94E7-538F5DDC79E2}" destId="{A30AF627-6D5F-4E11-B5A3-95D44E7190A1}" srcOrd="1" destOrd="0" presId="urn:microsoft.com/office/officeart/2005/8/layout/hierarchy1"/>
    <dgm:cxn modelId="{3C8D4866-145B-41CF-8B01-09B8A1D7BC3D}" type="presParOf" srcId="{A30AF627-6D5F-4E11-B5A3-95D44E7190A1}" destId="{F5826424-69D8-4BB0-BE66-B33D6643EBD3}" srcOrd="0" destOrd="0" presId="urn:microsoft.com/office/officeart/2005/8/layout/hierarchy1"/>
    <dgm:cxn modelId="{F1D68457-E2F3-49FE-81FB-2C113A4FD573}" type="presParOf" srcId="{A30AF627-6D5F-4E11-B5A3-95D44E7190A1}" destId="{55A6FB14-9FFB-4180-8F8F-CCD1631E93AD}" srcOrd="1" destOrd="0" presId="urn:microsoft.com/office/officeart/2005/8/layout/hierarchy1"/>
    <dgm:cxn modelId="{5966097A-9F63-4327-86B7-DE391F9EF4EF}" type="presParOf" srcId="{55A6FB14-9FFB-4180-8F8F-CCD1631E93AD}" destId="{8774138E-13F8-4ABE-BCC5-7BDBD24DC4AA}" srcOrd="0" destOrd="0" presId="urn:microsoft.com/office/officeart/2005/8/layout/hierarchy1"/>
    <dgm:cxn modelId="{E1AC9758-9AFA-4ECD-8B54-FFA074130C57}" type="presParOf" srcId="{8774138E-13F8-4ABE-BCC5-7BDBD24DC4AA}" destId="{C75B6D2E-6839-4937-A024-6887AA42B19E}" srcOrd="0" destOrd="0" presId="urn:microsoft.com/office/officeart/2005/8/layout/hierarchy1"/>
    <dgm:cxn modelId="{B44E4F79-9161-4C32-9104-1D00FBECB9E9}" type="presParOf" srcId="{8774138E-13F8-4ABE-BCC5-7BDBD24DC4AA}" destId="{EAB21B1B-5D94-464D-8807-72C1D2B4C21F}" srcOrd="1" destOrd="0" presId="urn:microsoft.com/office/officeart/2005/8/layout/hierarchy1"/>
    <dgm:cxn modelId="{D7E8FD8A-3071-423C-B3EC-F713C25ECFAF}" type="presParOf" srcId="{55A6FB14-9FFB-4180-8F8F-CCD1631E93AD}" destId="{FAC43F8C-C1EA-427E-91F2-B01E095BFC50}" srcOrd="1" destOrd="0" presId="urn:microsoft.com/office/officeart/2005/8/layout/hierarchy1"/>
    <dgm:cxn modelId="{6E52F00D-64EE-4FD8-851E-7696F73496B4}" type="presParOf" srcId="{FAC43F8C-C1EA-427E-91F2-B01E095BFC50}" destId="{FA3E0034-5702-4F32-BAA4-2ADF64D9A18A}" srcOrd="0" destOrd="0" presId="urn:microsoft.com/office/officeart/2005/8/layout/hierarchy1"/>
    <dgm:cxn modelId="{4C15D1CF-655F-46C4-8074-F15BEF6202A1}" type="presParOf" srcId="{FAC43F8C-C1EA-427E-91F2-B01E095BFC50}" destId="{C1B9B19B-DE21-4D59-8869-C727F475CFE8}" srcOrd="1" destOrd="0" presId="urn:microsoft.com/office/officeart/2005/8/layout/hierarchy1"/>
    <dgm:cxn modelId="{536C1038-750C-4C17-B1A1-0A04999D0175}" type="presParOf" srcId="{C1B9B19B-DE21-4D59-8869-C727F475CFE8}" destId="{F66A201E-6367-4EF0-89F1-C06E79F67187}" srcOrd="0" destOrd="0" presId="urn:microsoft.com/office/officeart/2005/8/layout/hierarchy1"/>
    <dgm:cxn modelId="{2591EC11-6DFC-4E30-AA42-EA76388F45A8}" type="presParOf" srcId="{F66A201E-6367-4EF0-89F1-C06E79F67187}" destId="{0FB5633B-F761-46CE-85E2-AC5FDD408C05}" srcOrd="0" destOrd="0" presId="urn:microsoft.com/office/officeart/2005/8/layout/hierarchy1"/>
    <dgm:cxn modelId="{C5401619-0559-4A31-B2BF-DD24C85BB3B8}" type="presParOf" srcId="{F66A201E-6367-4EF0-89F1-C06E79F67187}" destId="{21D57AF0-C5E9-47A4-AC0D-ACC2E71B39D9}" srcOrd="1" destOrd="0" presId="urn:microsoft.com/office/officeart/2005/8/layout/hierarchy1"/>
    <dgm:cxn modelId="{F12A7055-1832-44EA-8F8B-CEAFE48F22A7}" type="presParOf" srcId="{C1B9B19B-DE21-4D59-8869-C727F475CFE8}" destId="{BE66E344-182D-4E4B-8F7F-4AB5065FB101}" srcOrd="1" destOrd="0" presId="urn:microsoft.com/office/officeart/2005/8/layout/hierarchy1"/>
    <dgm:cxn modelId="{537655F4-D990-4D85-9AB1-15B976157124}" type="presParOf" srcId="{BE66E344-182D-4E4B-8F7F-4AB5065FB101}" destId="{DAE5E97F-8933-4DAC-B6FD-AE42C9B4ABC6}" srcOrd="0" destOrd="0" presId="urn:microsoft.com/office/officeart/2005/8/layout/hierarchy1"/>
    <dgm:cxn modelId="{F0AEB544-309C-4B4F-8CBF-9D41D31F748C}" type="presParOf" srcId="{BE66E344-182D-4E4B-8F7F-4AB5065FB101}" destId="{9CC16052-B0FA-4C73-951A-93A31585454A}" srcOrd="1" destOrd="0" presId="urn:microsoft.com/office/officeart/2005/8/layout/hierarchy1"/>
    <dgm:cxn modelId="{19A9E4B6-C0F1-4D62-99C4-EEFD5B1E3BB2}" type="presParOf" srcId="{9CC16052-B0FA-4C73-951A-93A31585454A}" destId="{B1ECDFD0-1698-4686-8122-322E107871D4}" srcOrd="0" destOrd="0" presId="urn:microsoft.com/office/officeart/2005/8/layout/hierarchy1"/>
    <dgm:cxn modelId="{BC5CE47E-28C7-4042-AE62-BF9E91E0E338}" type="presParOf" srcId="{B1ECDFD0-1698-4686-8122-322E107871D4}" destId="{0F0DAE99-C010-4F5B-93E5-0FF057123D81}" srcOrd="0" destOrd="0" presId="urn:microsoft.com/office/officeart/2005/8/layout/hierarchy1"/>
    <dgm:cxn modelId="{D2AE7D4A-A45E-4A38-B353-DCBB3067A126}" type="presParOf" srcId="{B1ECDFD0-1698-4686-8122-322E107871D4}" destId="{E8233023-B8A7-41ED-A6C1-73BA5B5F2066}" srcOrd="1" destOrd="0" presId="urn:microsoft.com/office/officeart/2005/8/layout/hierarchy1"/>
    <dgm:cxn modelId="{A66286E6-92A7-4475-B5D3-3EAD0B1FF9A0}" type="presParOf" srcId="{9CC16052-B0FA-4C73-951A-93A31585454A}" destId="{7A63A786-3151-4139-9E08-4A5773CC11E1}" srcOrd="1" destOrd="0" presId="urn:microsoft.com/office/officeart/2005/8/layout/hierarchy1"/>
    <dgm:cxn modelId="{53281382-9F41-4C83-8061-F34A6763977D}" type="presParOf" srcId="{7A63A786-3151-4139-9E08-4A5773CC11E1}" destId="{2A296F42-E09E-4086-A511-C30D39793809}" srcOrd="0" destOrd="0" presId="urn:microsoft.com/office/officeart/2005/8/layout/hierarchy1"/>
    <dgm:cxn modelId="{3F9ACCC4-A2AA-4640-82D4-57D13CBEE548}" type="presParOf" srcId="{7A63A786-3151-4139-9E08-4A5773CC11E1}" destId="{F64D6274-E4EF-48C9-92BA-86D7AD914D57}" srcOrd="1" destOrd="0" presId="urn:microsoft.com/office/officeart/2005/8/layout/hierarchy1"/>
    <dgm:cxn modelId="{110F6A28-4DD4-4D99-844D-BCDE16FDD4DC}" type="presParOf" srcId="{F64D6274-E4EF-48C9-92BA-86D7AD914D57}" destId="{068912FB-E048-417C-97FE-5E3756DA236E}" srcOrd="0" destOrd="0" presId="urn:microsoft.com/office/officeart/2005/8/layout/hierarchy1"/>
    <dgm:cxn modelId="{85061B20-4A6C-489F-A5DC-696A5A70021E}" type="presParOf" srcId="{068912FB-E048-417C-97FE-5E3756DA236E}" destId="{ED7256A2-C548-4A65-84F0-B34B9652ABE1}" srcOrd="0" destOrd="0" presId="urn:microsoft.com/office/officeart/2005/8/layout/hierarchy1"/>
    <dgm:cxn modelId="{243B2D7A-E452-460B-AF53-38A10273489F}" type="presParOf" srcId="{068912FB-E048-417C-97FE-5E3756DA236E}" destId="{4E8D50CB-C6FF-4BCA-8516-E7B20E5DDE96}" srcOrd="1" destOrd="0" presId="urn:microsoft.com/office/officeart/2005/8/layout/hierarchy1"/>
    <dgm:cxn modelId="{A1A1B9CD-1798-4A29-86E6-B335A9BF3AFA}" type="presParOf" srcId="{F64D6274-E4EF-48C9-92BA-86D7AD914D57}" destId="{69CC449B-4606-4BC7-9AB6-215A68C8293B}" srcOrd="1" destOrd="0" presId="urn:microsoft.com/office/officeart/2005/8/layout/hierarchy1"/>
    <dgm:cxn modelId="{7A5FF2BD-BFD4-4635-8E93-08DED03393D5}" type="presParOf" srcId="{69CC449B-4606-4BC7-9AB6-215A68C8293B}" destId="{5BFEA65F-D76D-407B-978B-4D65AC4B4CF9}" srcOrd="0" destOrd="0" presId="urn:microsoft.com/office/officeart/2005/8/layout/hierarchy1"/>
    <dgm:cxn modelId="{8C7CC3CF-6837-4EBB-A012-D7DEA68023F8}" type="presParOf" srcId="{69CC449B-4606-4BC7-9AB6-215A68C8293B}" destId="{9A3F7EA0-6D46-41D5-8B28-028E305BF32B}" srcOrd="1" destOrd="0" presId="urn:microsoft.com/office/officeart/2005/8/layout/hierarchy1"/>
    <dgm:cxn modelId="{38303D32-503E-4371-9340-1676B7C126A6}" type="presParOf" srcId="{9A3F7EA0-6D46-41D5-8B28-028E305BF32B}" destId="{2DCD60B1-7778-4E33-9692-7583E0A5860C}" srcOrd="0" destOrd="0" presId="urn:microsoft.com/office/officeart/2005/8/layout/hierarchy1"/>
    <dgm:cxn modelId="{EB066E39-3B81-4867-9B5A-964F49271E65}" type="presParOf" srcId="{2DCD60B1-7778-4E33-9692-7583E0A5860C}" destId="{35E5F3C6-8D79-4B89-974C-F82DE7AD076C}" srcOrd="0" destOrd="0" presId="urn:microsoft.com/office/officeart/2005/8/layout/hierarchy1"/>
    <dgm:cxn modelId="{9E106014-2581-47DC-B7EE-963AB34F51DA}" type="presParOf" srcId="{2DCD60B1-7778-4E33-9692-7583E0A5860C}" destId="{3345A303-B58C-479C-9F66-67CEAE42C4FF}" srcOrd="1" destOrd="0" presId="urn:microsoft.com/office/officeart/2005/8/layout/hierarchy1"/>
    <dgm:cxn modelId="{720D1CED-61D6-49EE-8540-925E36ECE41A}"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023D7BD-08B1-4562-A7C7-29EE0CC61D55}" type="presParOf" srcId="{2F3883DE-CFBF-47B1-8D1A-73F067879BC0}" destId="{E87FD8C6-6D63-4114-A3F0-6C4521812385}" srcOrd="0" destOrd="0" presId="urn:microsoft.com/office/officeart/2005/8/layout/hierarchy1"/>
    <dgm:cxn modelId="{F1C1B3AD-3E34-4A4A-B45D-FC0A6B806DDD}" type="presParOf" srcId="{2F3883DE-CFBF-47B1-8D1A-73F067879BC0}" destId="{BBEEE62D-E48C-49FA-BD01-572FDBB2A562}" srcOrd="1" destOrd="0" presId="urn:microsoft.com/office/officeart/2005/8/layout/hierarchy1"/>
    <dgm:cxn modelId="{2AD331A9-E549-4C60-B3BD-EB5A4BA44C6D}" type="presParOf" srcId="{BBEEE62D-E48C-49FA-BD01-572FDBB2A562}" destId="{C34B332D-969C-405D-AAAE-648B13C49E11}" srcOrd="0" destOrd="0" presId="urn:microsoft.com/office/officeart/2005/8/layout/hierarchy1"/>
    <dgm:cxn modelId="{026DD3B9-14FE-4910-B79A-563A6EF25610}" type="presParOf" srcId="{C34B332D-969C-405D-AAAE-648B13C49E11}" destId="{1D14F3FF-54F3-4AD6-B969-D3BC8BE3BC2E}" srcOrd="0" destOrd="0" presId="urn:microsoft.com/office/officeart/2005/8/layout/hierarchy1"/>
    <dgm:cxn modelId="{AB136CC6-93A5-442A-8FAB-A2E9D334D90C}" type="presParOf" srcId="{C34B332D-969C-405D-AAAE-648B13C49E11}" destId="{725F95E8-0B66-490D-9156-4D321353C454}" srcOrd="1" destOrd="0" presId="urn:microsoft.com/office/officeart/2005/8/layout/hierarchy1"/>
    <dgm:cxn modelId="{5EA1D19D-3BE9-41EB-92C9-30255E651FC6}" type="presParOf" srcId="{BBEEE62D-E48C-49FA-BD01-572FDBB2A562}" destId="{70AE7EB9-1287-42D3-9691-A26E90ED463F}"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1939462" cy="184601"/>
        </a:xfrm>
        <a:custGeom>
          <a:avLst/>
          <a:gdLst/>
          <a:ahLst/>
          <a:cxnLst/>
          <a:rect l="0" t="0" r="0" b="0"/>
          <a:pathLst>
            <a:path>
              <a:moveTo>
                <a:pt x="0" y="0"/>
              </a:moveTo>
              <a:lnTo>
                <a:pt x="0" y="125800"/>
              </a:lnTo>
              <a:lnTo>
                <a:pt x="1939462" y="125800"/>
              </a:lnTo>
              <a:lnTo>
                <a:pt x="1939462"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341989"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341989"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341989"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34198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34198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34198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34198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34198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163677" cy="184601"/>
        </a:xfrm>
        <a:custGeom>
          <a:avLst/>
          <a:gdLst/>
          <a:ahLst/>
          <a:cxnLst/>
          <a:rect l="0" t="0" r="0" b="0"/>
          <a:pathLst>
            <a:path>
              <a:moveTo>
                <a:pt x="0" y="0"/>
              </a:moveTo>
              <a:lnTo>
                <a:pt x="0" y="125800"/>
              </a:lnTo>
              <a:lnTo>
                <a:pt x="1163677" y="125800"/>
              </a:lnTo>
              <a:lnTo>
                <a:pt x="1163677"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56620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56620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56620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56620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56620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224032" y="993885"/>
          <a:ext cx="387892" cy="184601"/>
        </a:xfrm>
        <a:custGeom>
          <a:avLst/>
          <a:gdLst/>
          <a:ahLst/>
          <a:cxnLst/>
          <a:rect l="0" t="0" r="0" b="0"/>
          <a:pathLst>
            <a:path>
              <a:moveTo>
                <a:pt x="0" y="0"/>
              </a:moveTo>
              <a:lnTo>
                <a:pt x="0" y="125800"/>
              </a:lnTo>
              <a:lnTo>
                <a:pt x="387892" y="125800"/>
              </a:lnTo>
              <a:lnTo>
                <a:pt x="387892"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041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041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041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041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6139" y="993885"/>
          <a:ext cx="387892" cy="184601"/>
        </a:xfrm>
        <a:custGeom>
          <a:avLst/>
          <a:gdLst/>
          <a:ahLst/>
          <a:cxnLst/>
          <a:rect l="0" t="0" r="0" b="0"/>
          <a:pathLst>
            <a:path>
              <a:moveTo>
                <a:pt x="387892" y="0"/>
              </a:moveTo>
              <a:lnTo>
                <a:pt x="387892"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FD8C6-6D63-4114-A3F0-6C4521812385}">
      <dsp:nvSpPr>
        <dsp:cNvPr id="0" name=""/>
        <dsp:cNvSpPr/>
      </dsp:nvSpPr>
      <dsp:spPr>
        <a:xfrm>
          <a:off x="401463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1463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1463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1463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1463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1463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284569"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238849" y="2966723"/>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238849" y="237906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8849" y="179140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23884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463064"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46306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46306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46306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46306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46306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46306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508784"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284569" y="406227"/>
          <a:ext cx="1939462" cy="184601"/>
        </a:xfrm>
        <a:custGeom>
          <a:avLst/>
          <a:gdLst/>
          <a:ahLst/>
          <a:cxnLst/>
          <a:rect l="0" t="0" r="0" b="0"/>
          <a:pathLst>
            <a:path>
              <a:moveTo>
                <a:pt x="1939462" y="0"/>
              </a:moveTo>
              <a:lnTo>
                <a:pt x="1939462"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88996" y="81976"/>
        <a:ext cx="611123" cy="379445"/>
      </dsp:txXfrm>
    </dsp:sp>
    <dsp:sp modelId="{172B48EB-6AF0-48C3-AD97-4CEA4C2D94BC}">
      <dsp:nvSpPr>
        <dsp:cNvPr id="0" name=""/>
        <dsp:cNvSpPr/>
      </dsp:nvSpPr>
      <dsp:spPr>
        <a:xfrm>
          <a:off x="2967202"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037728"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049533" y="669634"/>
        <a:ext cx="611123" cy="379445"/>
      </dsp:txXfrm>
    </dsp:sp>
    <dsp:sp modelId="{E7D296B6-C2C8-43BE-98C9-E25E3A097246}">
      <dsp:nvSpPr>
        <dsp:cNvPr id="0" name=""/>
        <dsp:cNvSpPr/>
      </dsp:nvSpPr>
      <dsp:spPr>
        <a:xfrm>
          <a:off x="219141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26194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273748" y="1257291"/>
        <a:ext cx="611123" cy="379445"/>
      </dsp:txXfrm>
    </dsp:sp>
    <dsp:sp modelId="{5C249CA5-DB6C-43AE-BF70-6D8B4A18428F}">
      <dsp:nvSpPr>
        <dsp:cNvPr id="0" name=""/>
        <dsp:cNvSpPr/>
      </dsp:nvSpPr>
      <dsp:spPr>
        <a:xfrm>
          <a:off x="219141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26194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Vagyongazdálkodási referens</a:t>
          </a:r>
        </a:p>
      </dsp:txBody>
      <dsp:txXfrm>
        <a:off x="2273748" y="1844948"/>
        <a:ext cx="611123" cy="379445"/>
      </dsp:txXfrm>
    </dsp:sp>
    <dsp:sp modelId="{C41E50D4-8430-43C9-B677-98848925B5DE}">
      <dsp:nvSpPr>
        <dsp:cNvPr id="0" name=""/>
        <dsp:cNvSpPr/>
      </dsp:nvSpPr>
      <dsp:spPr>
        <a:xfrm>
          <a:off x="219141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26194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273748" y="2432605"/>
        <a:ext cx="611123" cy="379445"/>
      </dsp:txXfrm>
    </dsp:sp>
    <dsp:sp modelId="{C75B6D2E-6839-4937-A024-6887AA42B19E}">
      <dsp:nvSpPr>
        <dsp:cNvPr id="0" name=""/>
        <dsp:cNvSpPr/>
      </dsp:nvSpPr>
      <dsp:spPr>
        <a:xfrm>
          <a:off x="219141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26194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273748" y="3020263"/>
        <a:ext cx="611123" cy="379445"/>
      </dsp:txXfrm>
    </dsp:sp>
    <dsp:sp modelId="{0FB5633B-F761-46CE-85E2-AC5FDD408C05}">
      <dsp:nvSpPr>
        <dsp:cNvPr id="0" name=""/>
        <dsp:cNvSpPr/>
      </dsp:nvSpPr>
      <dsp:spPr>
        <a:xfrm>
          <a:off x="219141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26194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273748" y="3607920"/>
        <a:ext cx="611123" cy="379445"/>
      </dsp:txXfrm>
    </dsp:sp>
    <dsp:sp modelId="{0F0DAE99-C010-4F5B-93E5-0FF057123D81}">
      <dsp:nvSpPr>
        <dsp:cNvPr id="0" name=""/>
        <dsp:cNvSpPr/>
      </dsp:nvSpPr>
      <dsp:spPr>
        <a:xfrm>
          <a:off x="219141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26194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273748" y="4195577"/>
        <a:ext cx="611123" cy="379445"/>
      </dsp:txXfrm>
    </dsp:sp>
    <dsp:sp modelId="{ED7256A2-C548-4A65-84F0-B34B9652ABE1}">
      <dsp:nvSpPr>
        <dsp:cNvPr id="0" name=""/>
        <dsp:cNvSpPr/>
      </dsp:nvSpPr>
      <dsp:spPr>
        <a:xfrm>
          <a:off x="219141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26194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273748" y="4783234"/>
        <a:ext cx="611123" cy="379445"/>
      </dsp:txXfrm>
    </dsp:sp>
    <dsp:sp modelId="{35E5F3C6-8D79-4B89-974C-F82DE7AD076C}">
      <dsp:nvSpPr>
        <dsp:cNvPr id="0" name=""/>
        <dsp:cNvSpPr/>
      </dsp:nvSpPr>
      <dsp:spPr>
        <a:xfrm>
          <a:off x="2191417"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261943"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273748" y="5370892"/>
        <a:ext cx="611123" cy="379445"/>
      </dsp:txXfrm>
    </dsp:sp>
    <dsp:sp modelId="{985C402D-E673-46D5-95BD-B9EE13E1A2D0}">
      <dsp:nvSpPr>
        <dsp:cNvPr id="0" name=""/>
        <dsp:cNvSpPr/>
      </dsp:nvSpPr>
      <dsp:spPr>
        <a:xfrm>
          <a:off x="2967202" y="1178486"/>
          <a:ext cx="634733" cy="612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037728" y="1245486"/>
          <a:ext cx="634733" cy="612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055680" y="1263438"/>
        <a:ext cx="598829" cy="577018"/>
      </dsp:txXfrm>
    </dsp:sp>
    <dsp:sp modelId="{5CE522F8-F1A2-4BE0-873A-3A08829E0FAF}">
      <dsp:nvSpPr>
        <dsp:cNvPr id="0" name=""/>
        <dsp:cNvSpPr/>
      </dsp:nvSpPr>
      <dsp:spPr>
        <a:xfrm>
          <a:off x="2967202" y="197601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37728" y="204301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049533" y="2054815"/>
        <a:ext cx="611123" cy="379445"/>
      </dsp:txXfrm>
    </dsp:sp>
    <dsp:sp modelId="{1436BF17-B85D-4A21-869A-699180ECB448}">
      <dsp:nvSpPr>
        <dsp:cNvPr id="0" name=""/>
        <dsp:cNvSpPr/>
      </dsp:nvSpPr>
      <dsp:spPr>
        <a:xfrm>
          <a:off x="2967202" y="256366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037728" y="263066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049533" y="2642472"/>
        <a:ext cx="611123" cy="379445"/>
      </dsp:txXfrm>
    </dsp:sp>
    <dsp:sp modelId="{42FEAF35-9290-45D4-B603-B6C252F744E5}">
      <dsp:nvSpPr>
        <dsp:cNvPr id="0" name=""/>
        <dsp:cNvSpPr/>
      </dsp:nvSpPr>
      <dsp:spPr>
        <a:xfrm>
          <a:off x="2967202" y="315132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037728" y="321832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referns</a:t>
          </a:r>
        </a:p>
      </dsp:txBody>
      <dsp:txXfrm>
        <a:off x="3049533" y="3230130"/>
        <a:ext cx="611123" cy="379445"/>
      </dsp:txXfrm>
    </dsp:sp>
    <dsp:sp modelId="{632E88CC-BC6F-4ED5-B419-0E327DE910BF}">
      <dsp:nvSpPr>
        <dsp:cNvPr id="0" name=""/>
        <dsp:cNvSpPr/>
      </dsp:nvSpPr>
      <dsp:spPr>
        <a:xfrm>
          <a:off x="374298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81351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825318" y="1257291"/>
        <a:ext cx="611123" cy="379445"/>
      </dsp:txXfrm>
    </dsp:sp>
    <dsp:sp modelId="{A20C9E5E-15D7-4E26-963C-50600D39974A}">
      <dsp:nvSpPr>
        <dsp:cNvPr id="0" name=""/>
        <dsp:cNvSpPr/>
      </dsp:nvSpPr>
      <dsp:spPr>
        <a:xfrm>
          <a:off x="374298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81351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825318" y="1844948"/>
        <a:ext cx="611123" cy="379445"/>
      </dsp:txXfrm>
    </dsp:sp>
    <dsp:sp modelId="{CF416B01-E77C-4CF2-AD96-BEF243EBA2C8}">
      <dsp:nvSpPr>
        <dsp:cNvPr id="0" name=""/>
        <dsp:cNvSpPr/>
      </dsp:nvSpPr>
      <dsp:spPr>
        <a:xfrm>
          <a:off x="374298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81351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825318" y="2432605"/>
        <a:ext cx="611123" cy="379445"/>
      </dsp:txXfrm>
    </dsp:sp>
    <dsp:sp modelId="{224A74BA-40EE-4597-A519-6BFC288C12D2}">
      <dsp:nvSpPr>
        <dsp:cNvPr id="0" name=""/>
        <dsp:cNvSpPr/>
      </dsp:nvSpPr>
      <dsp:spPr>
        <a:xfrm>
          <a:off x="374298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81351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825318" y="3020263"/>
        <a:ext cx="611123" cy="379445"/>
      </dsp:txXfrm>
    </dsp:sp>
    <dsp:sp modelId="{0F1A1556-D05E-4F0C-896A-92A39700D411}">
      <dsp:nvSpPr>
        <dsp:cNvPr id="0" name=""/>
        <dsp:cNvSpPr/>
      </dsp:nvSpPr>
      <dsp:spPr>
        <a:xfrm>
          <a:off x="374298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81351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825318" y="3607920"/>
        <a:ext cx="611123" cy="379445"/>
      </dsp:txXfrm>
    </dsp:sp>
    <dsp:sp modelId="{E7E7EF78-B98B-4AD4-B06E-17CBCC0E32A8}">
      <dsp:nvSpPr>
        <dsp:cNvPr id="0" name=""/>
        <dsp:cNvSpPr/>
      </dsp:nvSpPr>
      <dsp:spPr>
        <a:xfrm>
          <a:off x="374298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81351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825318" y="4195577"/>
        <a:ext cx="611123" cy="379445"/>
      </dsp:txXfrm>
    </dsp:sp>
    <dsp:sp modelId="{1D14F3FF-54F3-4AD6-B969-D3BC8BE3BC2E}">
      <dsp:nvSpPr>
        <dsp:cNvPr id="0" name=""/>
        <dsp:cNvSpPr/>
      </dsp:nvSpPr>
      <dsp:spPr>
        <a:xfrm>
          <a:off x="374298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5F95E8-0B66-490D-9156-4D321353C454}">
      <dsp:nvSpPr>
        <dsp:cNvPr id="0" name=""/>
        <dsp:cNvSpPr/>
      </dsp:nvSpPr>
      <dsp:spPr>
        <a:xfrm>
          <a:off x="381351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Osztályadminisztrátor</a:t>
          </a:r>
        </a:p>
      </dsp:txBody>
      <dsp:txXfrm>
        <a:off x="3825318"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518772"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589298"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01103" y="1257291"/>
        <a:ext cx="611123" cy="379445"/>
      </dsp:txXfrm>
    </dsp:sp>
    <dsp:sp modelId="{BBF26AD4-EBCB-4D38-871E-26587B5C6E2E}">
      <dsp:nvSpPr>
        <dsp:cNvPr id="0" name=""/>
        <dsp:cNvSpPr/>
      </dsp:nvSpPr>
      <dsp:spPr>
        <a:xfrm>
          <a:off x="4518772"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589298"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01103" y="1844948"/>
        <a:ext cx="611123" cy="379445"/>
      </dsp:txXfrm>
    </dsp:sp>
    <dsp:sp modelId="{DAA2BA82-5401-4D9D-BE8C-0BBC328B978D}">
      <dsp:nvSpPr>
        <dsp:cNvPr id="0" name=""/>
        <dsp:cNvSpPr/>
      </dsp:nvSpPr>
      <dsp:spPr>
        <a:xfrm>
          <a:off x="4518772"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589298"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01103" y="2432605"/>
        <a:ext cx="611123" cy="379445"/>
      </dsp:txXfrm>
    </dsp:sp>
    <dsp:sp modelId="{95BC091E-ADE4-48BB-83B3-BFEB6C0E889D}">
      <dsp:nvSpPr>
        <dsp:cNvPr id="0" name=""/>
        <dsp:cNvSpPr/>
      </dsp:nvSpPr>
      <dsp:spPr>
        <a:xfrm>
          <a:off x="4518772"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589298"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01103" y="3020263"/>
        <a:ext cx="611123" cy="379445"/>
      </dsp:txXfrm>
    </dsp:sp>
    <dsp:sp modelId="{E65BACF3-C8C8-4563-B448-19BEFF117E03}">
      <dsp:nvSpPr>
        <dsp:cNvPr id="0" name=""/>
        <dsp:cNvSpPr/>
      </dsp:nvSpPr>
      <dsp:spPr>
        <a:xfrm>
          <a:off x="4518772"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589298"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01103" y="3607920"/>
        <a:ext cx="611123" cy="379445"/>
      </dsp:txXfrm>
    </dsp:sp>
    <dsp:sp modelId="{9D8DE2A3-1800-47A1-9524-A0618196573C}">
      <dsp:nvSpPr>
        <dsp:cNvPr id="0" name=""/>
        <dsp:cNvSpPr/>
      </dsp:nvSpPr>
      <dsp:spPr>
        <a:xfrm>
          <a:off x="5294558"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6508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76888" y="1257291"/>
        <a:ext cx="611123" cy="379445"/>
      </dsp:txXfrm>
    </dsp:sp>
    <dsp:sp modelId="{665990D5-CBC1-459B-A4B7-73865F2F5F7E}">
      <dsp:nvSpPr>
        <dsp:cNvPr id="0" name=""/>
        <dsp:cNvSpPr/>
      </dsp:nvSpPr>
      <dsp:spPr>
        <a:xfrm>
          <a:off x="5294558"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6508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76888" y="1844948"/>
        <a:ext cx="611123" cy="379445"/>
      </dsp:txXfrm>
    </dsp:sp>
    <dsp:sp modelId="{2B5EFC7B-9D66-40DC-B9B8-66216BC5C0A8}">
      <dsp:nvSpPr>
        <dsp:cNvPr id="0" name=""/>
        <dsp:cNvSpPr/>
      </dsp:nvSpPr>
      <dsp:spPr>
        <a:xfrm>
          <a:off x="5294558"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6508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76888" y="2432605"/>
        <a:ext cx="611123" cy="379445"/>
      </dsp:txXfrm>
    </dsp:sp>
    <dsp:sp modelId="{C08F48EC-80C3-419E-A706-2CC72A2C638D}">
      <dsp:nvSpPr>
        <dsp:cNvPr id="0" name=""/>
        <dsp:cNvSpPr/>
      </dsp:nvSpPr>
      <dsp:spPr>
        <a:xfrm>
          <a:off x="5294558"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6508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76888" y="3020263"/>
        <a:ext cx="611123" cy="379445"/>
      </dsp:txXfrm>
    </dsp:sp>
    <dsp:sp modelId="{2F43CB98-7BB8-459A-991B-E3AFC213E1DC}">
      <dsp:nvSpPr>
        <dsp:cNvPr id="0" name=""/>
        <dsp:cNvSpPr/>
      </dsp:nvSpPr>
      <dsp:spPr>
        <a:xfrm>
          <a:off x="5294558"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6508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76888" y="3607920"/>
        <a:ext cx="611123" cy="379445"/>
      </dsp:txXfrm>
    </dsp:sp>
    <dsp:sp modelId="{EB02972A-69A0-4CC5-9EDD-8EC655D03A16}">
      <dsp:nvSpPr>
        <dsp:cNvPr id="0" name=""/>
        <dsp:cNvSpPr/>
      </dsp:nvSpPr>
      <dsp:spPr>
        <a:xfrm>
          <a:off x="5294558"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6508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76888" y="4195577"/>
        <a:ext cx="611123" cy="379445"/>
      </dsp:txXfrm>
    </dsp:sp>
    <dsp:sp modelId="{51C2BBDB-EF96-486F-BFFA-6A613B4FD207}">
      <dsp:nvSpPr>
        <dsp:cNvPr id="0" name=""/>
        <dsp:cNvSpPr/>
      </dsp:nvSpPr>
      <dsp:spPr>
        <a:xfrm>
          <a:off x="6070343"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140869"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152674" y="669634"/>
        <a:ext cx="611123" cy="379445"/>
      </dsp:txXfrm>
    </dsp:sp>
    <dsp:sp modelId="{DB5E5166-41C6-40BA-B499-B9366D152AD0}">
      <dsp:nvSpPr>
        <dsp:cNvPr id="0" name=""/>
        <dsp:cNvSpPr/>
      </dsp:nvSpPr>
      <dsp:spPr>
        <a:xfrm>
          <a:off x="6070343"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140869"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152674" y="1257291"/>
        <a:ext cx="611123" cy="379445"/>
      </dsp:txXfrm>
    </dsp:sp>
    <dsp:sp modelId="{A59723E7-8833-4EB7-A03D-B86A7F1C7A76}">
      <dsp:nvSpPr>
        <dsp:cNvPr id="0" name=""/>
        <dsp:cNvSpPr/>
      </dsp:nvSpPr>
      <dsp:spPr>
        <a:xfrm>
          <a:off x="6070343"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140869"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152674" y="1844948"/>
        <a:ext cx="611123" cy="379445"/>
      </dsp:txXfrm>
    </dsp:sp>
    <dsp:sp modelId="{6BE7DB6A-2DB4-458F-9C0B-3B249CB616E1}">
      <dsp:nvSpPr>
        <dsp:cNvPr id="0" name=""/>
        <dsp:cNvSpPr/>
      </dsp:nvSpPr>
      <dsp:spPr>
        <a:xfrm>
          <a:off x="6070343"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140869"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152674" y="2432605"/>
        <a:ext cx="611123" cy="379445"/>
      </dsp:txXfrm>
    </dsp:sp>
    <dsp:sp modelId="{66F67230-2E7A-42B5-ABB2-3C4C1F8C2472}">
      <dsp:nvSpPr>
        <dsp:cNvPr id="0" name=""/>
        <dsp:cNvSpPr/>
      </dsp:nvSpPr>
      <dsp:spPr>
        <a:xfrm>
          <a:off x="6070343"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140869"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152674" y="3020263"/>
        <a:ext cx="611123" cy="379445"/>
      </dsp:txXfrm>
    </dsp:sp>
    <dsp:sp modelId="{FBBBD64F-0D37-4779-B756-8A60CE622D59}">
      <dsp:nvSpPr>
        <dsp:cNvPr id="0" name=""/>
        <dsp:cNvSpPr/>
      </dsp:nvSpPr>
      <dsp:spPr>
        <a:xfrm>
          <a:off x="6070343"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140869"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152674" y="3607920"/>
        <a:ext cx="611123" cy="379445"/>
      </dsp:txXfrm>
    </dsp:sp>
    <dsp:sp modelId="{872CC498-96F3-4D4B-B473-21E89E817B5F}">
      <dsp:nvSpPr>
        <dsp:cNvPr id="0" name=""/>
        <dsp:cNvSpPr/>
      </dsp:nvSpPr>
      <dsp:spPr>
        <a:xfrm>
          <a:off x="6070343"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140869"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152674" y="4195577"/>
        <a:ext cx="611123" cy="379445"/>
      </dsp:txXfrm>
    </dsp:sp>
    <dsp:sp modelId="{18566521-E4BF-4EBB-B0D2-D701BF98E968}">
      <dsp:nvSpPr>
        <dsp:cNvPr id="0" name=""/>
        <dsp:cNvSpPr/>
      </dsp:nvSpPr>
      <dsp:spPr>
        <a:xfrm>
          <a:off x="6070343"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140869"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152674" y="4783234"/>
        <a:ext cx="611123" cy="379445"/>
      </dsp:txXfrm>
    </dsp:sp>
    <dsp:sp modelId="{389B6CD6-B8D4-462B-B187-8064E532A514}">
      <dsp:nvSpPr>
        <dsp:cNvPr id="0" name=""/>
        <dsp:cNvSpPr/>
      </dsp:nvSpPr>
      <dsp:spPr>
        <a:xfrm>
          <a:off x="6070343"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140869"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152674" y="5370892"/>
        <a:ext cx="611123" cy="379445"/>
      </dsp:txXfrm>
    </dsp:sp>
    <dsp:sp modelId="{DFA2A5F0-ED43-44E9-8D59-AB2543EE311A}">
      <dsp:nvSpPr>
        <dsp:cNvPr id="0" name=""/>
        <dsp:cNvSpPr/>
      </dsp:nvSpPr>
      <dsp:spPr>
        <a:xfrm>
          <a:off x="6846128"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916654"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928459"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6053</Words>
  <Characters>46309</Characters>
  <Application>Microsoft Office Word</Application>
  <DocSecurity>0</DocSecurity>
  <Lines>385</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3</cp:revision>
  <cp:lastPrinted>2021-09-14T11:14:00Z</cp:lastPrinted>
  <dcterms:created xsi:type="dcterms:W3CDTF">2021-09-14T09:38:00Z</dcterms:created>
  <dcterms:modified xsi:type="dcterms:W3CDTF">2021-09-14T11:15:00Z</dcterms:modified>
</cp:coreProperties>
</file>