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C24B70" w14:textId="77777777" w:rsidR="00295A5D" w:rsidRPr="0042167E" w:rsidRDefault="00462EB8" w:rsidP="0042167E">
      <w:pPr>
        <w:jc w:val="both"/>
        <w:rPr>
          <w:b/>
          <w:bCs/>
          <w:sz w:val="22"/>
          <w:szCs w:val="22"/>
        </w:rPr>
      </w:pPr>
      <w:r w:rsidRPr="0042167E">
        <w:rPr>
          <w:b/>
          <w:bCs/>
          <w:sz w:val="22"/>
          <w:szCs w:val="22"/>
          <w:u w:val="single"/>
        </w:rPr>
        <w:t>KISKŐRÖS VÁROS POLGÁRMESTERE</w:t>
      </w:r>
    </w:p>
    <w:p w14:paraId="1BD4E187" w14:textId="77777777" w:rsidR="00295A5D" w:rsidRPr="0042167E" w:rsidRDefault="00295A5D" w:rsidP="0042167E">
      <w:pPr>
        <w:rPr>
          <w:sz w:val="22"/>
          <w:szCs w:val="22"/>
          <w:u w:val="single"/>
        </w:rPr>
      </w:pPr>
    </w:p>
    <w:p w14:paraId="50DCC9B7" w14:textId="77777777" w:rsidR="00295A5D" w:rsidRPr="0042167E" w:rsidRDefault="00295A5D" w:rsidP="0042167E">
      <w:pPr>
        <w:jc w:val="center"/>
        <w:rPr>
          <w:b/>
          <w:bCs/>
          <w:sz w:val="22"/>
          <w:szCs w:val="22"/>
          <w:u w:val="single"/>
        </w:rPr>
      </w:pPr>
    </w:p>
    <w:p w14:paraId="41334ADF" w14:textId="77777777" w:rsidR="00295A5D" w:rsidRPr="0042167E" w:rsidRDefault="00462EB8" w:rsidP="0042167E">
      <w:pPr>
        <w:jc w:val="center"/>
        <w:rPr>
          <w:sz w:val="22"/>
          <w:szCs w:val="22"/>
        </w:rPr>
      </w:pPr>
      <w:r w:rsidRPr="0042167E">
        <w:rPr>
          <w:b/>
          <w:bCs/>
          <w:sz w:val="22"/>
          <w:szCs w:val="22"/>
          <w:u w:val="single"/>
        </w:rPr>
        <w:t>ELŐTERJESZTÉS</w:t>
      </w:r>
    </w:p>
    <w:p w14:paraId="67CC1B3C" w14:textId="75693761" w:rsidR="00295A5D" w:rsidRPr="0042167E" w:rsidRDefault="00462EB8" w:rsidP="0042167E">
      <w:pPr>
        <w:jc w:val="center"/>
        <w:rPr>
          <w:sz w:val="22"/>
          <w:szCs w:val="22"/>
        </w:rPr>
      </w:pPr>
      <w:r w:rsidRPr="0042167E">
        <w:rPr>
          <w:sz w:val="22"/>
          <w:szCs w:val="22"/>
        </w:rPr>
        <w:t>(a Képviselő-testület 2022.</w:t>
      </w:r>
      <w:r w:rsidR="0042167E">
        <w:rPr>
          <w:sz w:val="22"/>
          <w:szCs w:val="22"/>
        </w:rPr>
        <w:t xml:space="preserve"> </w:t>
      </w:r>
      <w:r w:rsidRPr="0042167E">
        <w:rPr>
          <w:sz w:val="22"/>
          <w:szCs w:val="22"/>
        </w:rPr>
        <w:t>február 23-i ülésére)</w:t>
      </w:r>
    </w:p>
    <w:p w14:paraId="1C3DBEEA" w14:textId="77777777" w:rsidR="00295A5D" w:rsidRPr="0042167E" w:rsidRDefault="00295A5D" w:rsidP="0042167E">
      <w:pPr>
        <w:jc w:val="both"/>
        <w:rPr>
          <w:sz w:val="22"/>
          <w:szCs w:val="22"/>
        </w:rPr>
      </w:pPr>
    </w:p>
    <w:p w14:paraId="07D1E2FD" w14:textId="77777777" w:rsidR="00295A5D" w:rsidRPr="0042167E" w:rsidRDefault="00295A5D" w:rsidP="0042167E">
      <w:pPr>
        <w:tabs>
          <w:tab w:val="left" w:pos="567"/>
          <w:tab w:val="right" w:pos="8789"/>
          <w:tab w:val="left" w:pos="9072"/>
        </w:tabs>
        <w:jc w:val="both"/>
        <w:rPr>
          <w:b/>
          <w:sz w:val="22"/>
          <w:szCs w:val="22"/>
          <w:u w:val="single"/>
        </w:rPr>
      </w:pPr>
    </w:p>
    <w:p w14:paraId="19FDBE6F" w14:textId="2A0CC298" w:rsidR="00295A5D" w:rsidRPr="0042167E" w:rsidRDefault="00462EB8" w:rsidP="0042167E">
      <w:pPr>
        <w:ind w:left="1276" w:hanging="1276"/>
        <w:jc w:val="both"/>
        <w:rPr>
          <w:sz w:val="22"/>
          <w:szCs w:val="22"/>
        </w:rPr>
      </w:pPr>
      <w:r w:rsidRPr="0042167E">
        <w:rPr>
          <w:b/>
          <w:sz w:val="22"/>
          <w:szCs w:val="22"/>
          <w:u w:val="single"/>
        </w:rPr>
        <w:t>TÁRGY:</w:t>
      </w:r>
      <w:r w:rsidRPr="0042167E">
        <w:rPr>
          <w:b/>
          <w:sz w:val="22"/>
          <w:szCs w:val="22"/>
        </w:rPr>
        <w:t xml:space="preserve"> </w:t>
      </w:r>
      <w:r w:rsidR="0042167E">
        <w:rPr>
          <w:b/>
          <w:sz w:val="22"/>
          <w:szCs w:val="22"/>
        </w:rPr>
        <w:tab/>
      </w:r>
      <w:r w:rsidRPr="0042167E">
        <w:rPr>
          <w:b/>
          <w:caps/>
          <w:sz w:val="22"/>
          <w:szCs w:val="22"/>
        </w:rPr>
        <w:t>Középtávú tervezés</w:t>
      </w:r>
    </w:p>
    <w:p w14:paraId="367F567B" w14:textId="77777777" w:rsidR="00295A5D" w:rsidRPr="0042167E" w:rsidRDefault="00295A5D" w:rsidP="0042167E">
      <w:pPr>
        <w:ind w:left="1276" w:hanging="1276"/>
        <w:jc w:val="both"/>
        <w:rPr>
          <w:b/>
          <w:caps/>
          <w:sz w:val="22"/>
          <w:szCs w:val="22"/>
        </w:rPr>
      </w:pPr>
    </w:p>
    <w:p w14:paraId="4E258253" w14:textId="77777777" w:rsidR="00295A5D" w:rsidRPr="0042167E" w:rsidRDefault="00295A5D" w:rsidP="0042167E">
      <w:pPr>
        <w:rPr>
          <w:b/>
          <w:caps/>
          <w:sz w:val="22"/>
          <w:szCs w:val="22"/>
        </w:rPr>
      </w:pPr>
    </w:p>
    <w:p w14:paraId="10059B99" w14:textId="77777777" w:rsidR="00295A5D" w:rsidRPr="0042167E" w:rsidRDefault="00462EB8" w:rsidP="0042167E">
      <w:pPr>
        <w:autoSpaceDE w:val="0"/>
        <w:jc w:val="both"/>
        <w:rPr>
          <w:sz w:val="22"/>
          <w:szCs w:val="22"/>
        </w:rPr>
      </w:pPr>
      <w:r w:rsidRPr="0042167E">
        <w:rPr>
          <w:sz w:val="22"/>
          <w:szCs w:val="22"/>
        </w:rPr>
        <w:t xml:space="preserve">Az államháztartásról szóló 2011. évi CXCV. törvény (a továbbiakban: Áht.) 29/A. §-a szerint a helyi önkormányzat évente, legkésőbb a költségvetési rendelet elfogadásáig határozatban állapítja meg a saját bevételeinek, valamint a Magyarország gazdasági stabilitásáról szóló 2011. évi CXCIV. törvény (a továbbiakban: </w:t>
      </w:r>
      <w:proofErr w:type="spellStart"/>
      <w:r w:rsidRPr="0042167E">
        <w:rPr>
          <w:sz w:val="22"/>
          <w:szCs w:val="22"/>
        </w:rPr>
        <w:t>Gst</w:t>
      </w:r>
      <w:proofErr w:type="spellEnd"/>
      <w:r w:rsidRPr="0042167E">
        <w:rPr>
          <w:sz w:val="22"/>
          <w:szCs w:val="22"/>
        </w:rPr>
        <w:t xml:space="preserve">.) 8. § (2) bekezdése szerinti adósságot keletkeztető ügyleteiből eredő fizetési kötelezettségeinek a költségvetési évet követő három évre várható összegét. A </w:t>
      </w:r>
      <w:proofErr w:type="spellStart"/>
      <w:r w:rsidRPr="0042167E">
        <w:rPr>
          <w:sz w:val="22"/>
          <w:szCs w:val="22"/>
        </w:rPr>
        <w:t>Gst</w:t>
      </w:r>
      <w:proofErr w:type="spellEnd"/>
      <w:r w:rsidRPr="0042167E">
        <w:rPr>
          <w:sz w:val="22"/>
          <w:szCs w:val="22"/>
        </w:rPr>
        <w:t xml:space="preserve">. 10. § (5) bekezdése értelmében </w:t>
      </w:r>
      <w:r w:rsidRPr="0042167E">
        <w:rPr>
          <w:i/>
          <w:sz w:val="22"/>
          <w:szCs w:val="22"/>
        </w:rPr>
        <w:t xml:space="preserve">az önkormányzat adósságot keletkeztető ügyletből származó tárgyévi összes fizetési kötelezettsége az adósságot keletkeztető ügylet </w:t>
      </w:r>
      <w:proofErr w:type="spellStart"/>
      <w:r w:rsidRPr="0042167E">
        <w:rPr>
          <w:i/>
          <w:sz w:val="22"/>
          <w:szCs w:val="22"/>
        </w:rPr>
        <w:t>futamidejének</w:t>
      </w:r>
      <w:proofErr w:type="spellEnd"/>
      <w:r w:rsidRPr="0042167E">
        <w:rPr>
          <w:i/>
          <w:sz w:val="22"/>
          <w:szCs w:val="22"/>
        </w:rPr>
        <w:t xml:space="preserve"> végéig egyik évben sem haladhatja meg az önkormányzat adott évi saját bevételeinek 50%-át</w:t>
      </w:r>
      <w:r w:rsidRPr="0042167E">
        <w:rPr>
          <w:sz w:val="22"/>
          <w:szCs w:val="22"/>
        </w:rPr>
        <w:t>.</w:t>
      </w:r>
    </w:p>
    <w:p w14:paraId="422EF035" w14:textId="77777777" w:rsidR="00295A5D" w:rsidRPr="0042167E" w:rsidRDefault="00295A5D" w:rsidP="0042167E">
      <w:pPr>
        <w:autoSpaceDE w:val="0"/>
        <w:jc w:val="both"/>
        <w:rPr>
          <w:sz w:val="22"/>
          <w:szCs w:val="22"/>
        </w:rPr>
      </w:pPr>
    </w:p>
    <w:p w14:paraId="1DC200DD" w14:textId="77777777" w:rsidR="00295A5D" w:rsidRPr="0042167E" w:rsidRDefault="00462EB8" w:rsidP="0042167E">
      <w:pPr>
        <w:autoSpaceDE w:val="0"/>
        <w:jc w:val="both"/>
        <w:rPr>
          <w:sz w:val="22"/>
          <w:szCs w:val="22"/>
        </w:rPr>
      </w:pPr>
      <w:r w:rsidRPr="0042167E">
        <w:rPr>
          <w:sz w:val="22"/>
          <w:szCs w:val="22"/>
        </w:rPr>
        <w:t xml:space="preserve">Kiskőrös Város Önkormányzata ( a továbbiakban: Önkormányzat) a </w:t>
      </w:r>
      <w:proofErr w:type="spellStart"/>
      <w:r w:rsidRPr="0042167E">
        <w:rPr>
          <w:sz w:val="22"/>
          <w:szCs w:val="22"/>
        </w:rPr>
        <w:t>Gst</w:t>
      </w:r>
      <w:proofErr w:type="spellEnd"/>
      <w:r w:rsidRPr="0042167E">
        <w:rPr>
          <w:sz w:val="22"/>
          <w:szCs w:val="22"/>
        </w:rPr>
        <w:t>. 10. § (5) bekezdése szerinti fizetési kötelezettségbe beszámítandó megkötött adósságot keletkeztető ügylettel (</w:t>
      </w:r>
      <w:proofErr w:type="spellStart"/>
      <w:r w:rsidRPr="0042167E">
        <w:rPr>
          <w:sz w:val="22"/>
          <w:szCs w:val="22"/>
        </w:rPr>
        <w:t>Gst</w:t>
      </w:r>
      <w:proofErr w:type="spellEnd"/>
      <w:r w:rsidRPr="0042167E">
        <w:rPr>
          <w:sz w:val="22"/>
          <w:szCs w:val="22"/>
        </w:rPr>
        <w:t xml:space="preserve">. 8. § (2) bekezdés a) pont) rendelkezik. A megkötött beruházási/fejlesztési hitelszerződés összege 1300 millió Ft, amelyből 300 millió Ft piaccsarnok vásárlás, felújítás céljára, 80 millió Ft LTP szerződésekkel fedezett közműfejlesztés megvalósítására, 570 millió Ft új óvoda építéséhez, 250 millió Ft kerékpárút megvalósításához és 100 millió Ft földesút aszfalt burkolattal történő ellátásához került felvételre. </w:t>
      </w:r>
    </w:p>
    <w:p w14:paraId="36A7EF6F" w14:textId="77777777" w:rsidR="00295A5D" w:rsidRPr="0042167E" w:rsidRDefault="00295A5D" w:rsidP="0042167E">
      <w:pPr>
        <w:autoSpaceDE w:val="0"/>
        <w:jc w:val="both"/>
        <w:rPr>
          <w:sz w:val="22"/>
          <w:szCs w:val="22"/>
        </w:rPr>
      </w:pPr>
    </w:p>
    <w:p w14:paraId="6399444C" w14:textId="2512C7A2" w:rsidR="00295A5D" w:rsidRPr="0042167E" w:rsidRDefault="00462EB8" w:rsidP="0042167E">
      <w:pPr>
        <w:autoSpaceDE w:val="0"/>
        <w:jc w:val="both"/>
        <w:rPr>
          <w:sz w:val="22"/>
          <w:szCs w:val="22"/>
        </w:rPr>
      </w:pPr>
      <w:r w:rsidRPr="0042167E">
        <w:rPr>
          <w:sz w:val="22"/>
          <w:szCs w:val="22"/>
        </w:rPr>
        <w:t>A hitelszerződésekből 2021. december 31. napjáig piaccsarnok vásárlásra 150 millió Ft, közműfejlesztésre 74,1 millió Ft, új óvoda építéséhez 273,8 millió Ft, kerékpárút megvalósításához 181,6 millió Ft és a földesút aszfalt burkolattal történő ellátásához 97,2 millió Ft kölcsön igénybevétele történt meg. Egyik hitelcélhoz sem kerül lehívásra újabb összeg, a projektek megvalósítása befejeződött és a hitelek rendelkezésretartási ideje is lejárt. 2021.</w:t>
      </w:r>
      <w:r w:rsidR="0042167E">
        <w:rPr>
          <w:sz w:val="22"/>
          <w:szCs w:val="22"/>
        </w:rPr>
        <w:t xml:space="preserve"> </w:t>
      </w:r>
      <w:r w:rsidRPr="0042167E">
        <w:rPr>
          <w:sz w:val="22"/>
          <w:szCs w:val="22"/>
        </w:rPr>
        <w:t>december 31.</w:t>
      </w:r>
      <w:r w:rsidR="0042167E">
        <w:rPr>
          <w:sz w:val="22"/>
          <w:szCs w:val="22"/>
        </w:rPr>
        <w:t xml:space="preserve"> </w:t>
      </w:r>
      <w:r w:rsidRPr="0042167E">
        <w:rPr>
          <w:sz w:val="22"/>
          <w:szCs w:val="22"/>
        </w:rPr>
        <w:t>napján a fennálló hitelállomány 457,7  millió Ft.</w:t>
      </w:r>
    </w:p>
    <w:p w14:paraId="09DE02AF" w14:textId="77777777" w:rsidR="00295A5D" w:rsidRPr="0042167E" w:rsidRDefault="00295A5D" w:rsidP="0042167E">
      <w:pPr>
        <w:autoSpaceDE w:val="0"/>
        <w:jc w:val="both"/>
        <w:rPr>
          <w:sz w:val="22"/>
          <w:szCs w:val="22"/>
        </w:rPr>
      </w:pPr>
    </w:p>
    <w:p w14:paraId="2519BCB5" w14:textId="3EC70DCD" w:rsidR="00295A5D" w:rsidRPr="0042167E" w:rsidRDefault="00462EB8" w:rsidP="0042167E">
      <w:pPr>
        <w:autoSpaceDE w:val="0"/>
        <w:jc w:val="both"/>
        <w:rPr>
          <w:sz w:val="22"/>
          <w:szCs w:val="22"/>
        </w:rPr>
      </w:pPr>
      <w:r w:rsidRPr="0042167E">
        <w:rPr>
          <w:sz w:val="22"/>
          <w:szCs w:val="22"/>
        </w:rPr>
        <w:t xml:space="preserve">Az Önkormányzat, mint tulajdonos, a 2021-es évben - a Kormány előzetes hozzájárulásának birtokában – a </w:t>
      </w:r>
      <w:r w:rsidRPr="0042167E">
        <w:rPr>
          <w:bCs/>
          <w:color w:val="000000"/>
          <w:sz w:val="22"/>
          <w:szCs w:val="22"/>
        </w:rPr>
        <w:t>Kőröskom Nonprofit Kft 49 millió Ft beruházási/fejlesztési hitele fedezeteként 49</w:t>
      </w:r>
      <w:r w:rsidRPr="0042167E">
        <w:rPr>
          <w:bCs/>
          <w:i/>
          <w:iCs/>
          <w:color w:val="000000"/>
          <w:sz w:val="22"/>
          <w:szCs w:val="22"/>
        </w:rPr>
        <w:t xml:space="preserve"> </w:t>
      </w:r>
      <w:r w:rsidRPr="0042167E">
        <w:rPr>
          <w:bCs/>
          <w:color w:val="000000"/>
          <w:sz w:val="22"/>
          <w:szCs w:val="22"/>
        </w:rPr>
        <w:t xml:space="preserve">millió Ft készfizető kezességet vállalt. </w:t>
      </w:r>
      <w:r w:rsidRPr="0042167E">
        <w:rPr>
          <w:color w:val="000000"/>
          <w:sz w:val="22"/>
          <w:szCs w:val="22"/>
        </w:rPr>
        <w:t xml:space="preserve">A megkötött kezességvállalás megfelel a </w:t>
      </w:r>
      <w:proofErr w:type="spellStart"/>
      <w:r w:rsidRPr="0042167E">
        <w:rPr>
          <w:color w:val="000000"/>
          <w:sz w:val="22"/>
          <w:szCs w:val="22"/>
        </w:rPr>
        <w:t>Gst</w:t>
      </w:r>
      <w:proofErr w:type="spellEnd"/>
      <w:r w:rsidRPr="0042167E">
        <w:rPr>
          <w:color w:val="000000"/>
          <w:sz w:val="22"/>
          <w:szCs w:val="22"/>
        </w:rPr>
        <w:t>. és az Áht. 96. §-a szerinti feltételeknek. Az Önkormányzatot nem terheli díjfizetési kötelezettség a megkötött készfizető kezességvállalási szerződéssel kapcsolatban sem most, sem a jövőben. A megállapítandó fizetési kötelezettség mértékébe csak a kezesség-, illetve garanciavállalásból eredő, jogosult által érvényesített fizetési kötelezettség összegét kell beszámítani (</w:t>
      </w:r>
      <w:proofErr w:type="spellStart"/>
      <w:r w:rsidRPr="0042167E">
        <w:rPr>
          <w:color w:val="000000"/>
          <w:sz w:val="22"/>
          <w:szCs w:val="22"/>
        </w:rPr>
        <w:t>Gst</w:t>
      </w:r>
      <w:proofErr w:type="spellEnd"/>
      <w:r w:rsidRPr="0042167E">
        <w:rPr>
          <w:color w:val="000000"/>
          <w:sz w:val="22"/>
          <w:szCs w:val="22"/>
        </w:rPr>
        <w:t>. 10.</w:t>
      </w:r>
      <w:r w:rsidR="0042167E">
        <w:rPr>
          <w:color w:val="000000"/>
          <w:sz w:val="22"/>
          <w:szCs w:val="22"/>
        </w:rPr>
        <w:t xml:space="preserve"> </w:t>
      </w:r>
      <w:r w:rsidRPr="0042167E">
        <w:rPr>
          <w:color w:val="000000"/>
          <w:sz w:val="22"/>
          <w:szCs w:val="22"/>
        </w:rPr>
        <w:t>§</w:t>
      </w:r>
      <w:r w:rsidR="0042167E">
        <w:rPr>
          <w:color w:val="000000"/>
          <w:sz w:val="22"/>
          <w:szCs w:val="22"/>
        </w:rPr>
        <w:t xml:space="preserve"> </w:t>
      </w:r>
      <w:r w:rsidRPr="0042167E">
        <w:rPr>
          <w:color w:val="000000"/>
          <w:sz w:val="22"/>
          <w:szCs w:val="22"/>
        </w:rPr>
        <w:t>(6)</w:t>
      </w:r>
      <w:r w:rsidR="0042167E">
        <w:rPr>
          <w:color w:val="000000"/>
          <w:sz w:val="22"/>
          <w:szCs w:val="22"/>
        </w:rPr>
        <w:t xml:space="preserve"> </w:t>
      </w:r>
      <w:proofErr w:type="spellStart"/>
      <w:r w:rsidRPr="0042167E">
        <w:rPr>
          <w:color w:val="000000"/>
          <w:sz w:val="22"/>
          <w:szCs w:val="22"/>
        </w:rPr>
        <w:t>bek</w:t>
      </w:r>
      <w:proofErr w:type="spellEnd"/>
      <w:r w:rsidRPr="0042167E">
        <w:rPr>
          <w:color w:val="000000"/>
          <w:sz w:val="22"/>
          <w:szCs w:val="22"/>
        </w:rPr>
        <w:t>.).</w:t>
      </w:r>
    </w:p>
    <w:p w14:paraId="67692A04" w14:textId="77777777" w:rsidR="00295A5D" w:rsidRPr="0042167E" w:rsidRDefault="00295A5D" w:rsidP="0042167E">
      <w:pPr>
        <w:autoSpaceDE w:val="0"/>
        <w:jc w:val="both"/>
        <w:rPr>
          <w:sz w:val="22"/>
          <w:szCs w:val="22"/>
        </w:rPr>
      </w:pPr>
    </w:p>
    <w:p w14:paraId="487DD97B" w14:textId="77777777" w:rsidR="00295A5D" w:rsidRPr="0042167E" w:rsidRDefault="00462EB8" w:rsidP="0042167E">
      <w:pPr>
        <w:autoSpaceDE w:val="0"/>
        <w:jc w:val="both"/>
        <w:rPr>
          <w:sz w:val="22"/>
          <w:szCs w:val="22"/>
        </w:rPr>
      </w:pPr>
      <w:r w:rsidRPr="0042167E">
        <w:rPr>
          <w:sz w:val="22"/>
          <w:szCs w:val="22"/>
        </w:rPr>
        <w:t xml:space="preserve">A határozat-tervezet mellékletében szereplő hitel, kölcsön-ügyletből eredő tőke – és kamatfizetési kötelezettségek – a fentiek miatt - megosztásra kerültek megkötött és tervezett kötelezettségekre. </w:t>
      </w:r>
    </w:p>
    <w:p w14:paraId="1F0D3175" w14:textId="77777777" w:rsidR="00295A5D" w:rsidRPr="0042167E" w:rsidRDefault="00295A5D" w:rsidP="0042167E">
      <w:pPr>
        <w:autoSpaceDE w:val="0"/>
        <w:jc w:val="both"/>
        <w:rPr>
          <w:sz w:val="22"/>
          <w:szCs w:val="22"/>
        </w:rPr>
      </w:pPr>
    </w:p>
    <w:p w14:paraId="582F0CF3" w14:textId="77777777" w:rsidR="00295A5D" w:rsidRPr="0042167E" w:rsidRDefault="00462EB8" w:rsidP="0042167E">
      <w:pPr>
        <w:jc w:val="both"/>
        <w:rPr>
          <w:sz w:val="22"/>
          <w:szCs w:val="22"/>
        </w:rPr>
      </w:pPr>
      <w:r w:rsidRPr="0042167E">
        <w:rPr>
          <w:sz w:val="22"/>
          <w:szCs w:val="22"/>
        </w:rPr>
        <w:t xml:space="preserve">A tervezett kötelezettségek a már megkötött és a 2022. évben felvenni tervezett ügyletekhez kapcsolódó tőke–és kamatfizetési kötelezettségeket tartalmazza a tárgyévet követő három évre vonatkozóan. </w:t>
      </w:r>
    </w:p>
    <w:p w14:paraId="2010B001" w14:textId="77777777" w:rsidR="00295A5D" w:rsidRPr="0042167E" w:rsidRDefault="00295A5D" w:rsidP="0042167E">
      <w:pPr>
        <w:jc w:val="both"/>
        <w:rPr>
          <w:sz w:val="22"/>
          <w:szCs w:val="22"/>
        </w:rPr>
      </w:pPr>
    </w:p>
    <w:p w14:paraId="3B3CD527" w14:textId="77777777" w:rsidR="00295A5D" w:rsidRPr="0042167E" w:rsidRDefault="00462EB8" w:rsidP="0042167E">
      <w:pPr>
        <w:jc w:val="both"/>
        <w:rPr>
          <w:sz w:val="22"/>
          <w:szCs w:val="22"/>
        </w:rPr>
      </w:pPr>
      <w:r w:rsidRPr="0042167E">
        <w:rPr>
          <w:sz w:val="22"/>
          <w:szCs w:val="22"/>
        </w:rPr>
        <w:t>A 2022-es évben tíz különböző célhoz tervezésre került 10-10 millió Ft adósságot keletkeztető ügylet, melyek a következők:</w:t>
      </w:r>
    </w:p>
    <w:p w14:paraId="27CA1B40" w14:textId="77777777" w:rsidR="00295A5D" w:rsidRPr="0042167E" w:rsidRDefault="00462EB8" w:rsidP="0042167E">
      <w:pPr>
        <w:numPr>
          <w:ilvl w:val="0"/>
          <w:numId w:val="2"/>
        </w:numPr>
        <w:jc w:val="both"/>
        <w:rPr>
          <w:sz w:val="22"/>
          <w:szCs w:val="22"/>
        </w:rPr>
      </w:pPr>
      <w:proofErr w:type="spellStart"/>
      <w:r w:rsidRPr="0042167E">
        <w:rPr>
          <w:sz w:val="22"/>
          <w:szCs w:val="22"/>
        </w:rPr>
        <w:t>bőlcsődei</w:t>
      </w:r>
      <w:proofErr w:type="spellEnd"/>
      <w:r w:rsidRPr="0042167E">
        <w:rPr>
          <w:sz w:val="22"/>
          <w:szCs w:val="22"/>
        </w:rPr>
        <w:t xml:space="preserve"> férőhelyek bővítése, önerő,</w:t>
      </w:r>
    </w:p>
    <w:p w14:paraId="0F84372D" w14:textId="77777777" w:rsidR="00295A5D" w:rsidRPr="0042167E" w:rsidRDefault="00462EB8" w:rsidP="0042167E">
      <w:pPr>
        <w:numPr>
          <w:ilvl w:val="0"/>
          <w:numId w:val="2"/>
        </w:numPr>
        <w:jc w:val="both"/>
        <w:rPr>
          <w:sz w:val="22"/>
          <w:szCs w:val="22"/>
        </w:rPr>
      </w:pPr>
      <w:r w:rsidRPr="0042167E">
        <w:rPr>
          <w:sz w:val="22"/>
          <w:szCs w:val="22"/>
        </w:rPr>
        <w:t>ipari park kialakítása önerő,</w:t>
      </w:r>
    </w:p>
    <w:p w14:paraId="5E45736A" w14:textId="77777777" w:rsidR="00295A5D" w:rsidRPr="0042167E" w:rsidRDefault="00462EB8" w:rsidP="0042167E">
      <w:pPr>
        <w:numPr>
          <w:ilvl w:val="0"/>
          <w:numId w:val="2"/>
        </w:numPr>
        <w:jc w:val="both"/>
        <w:rPr>
          <w:sz w:val="22"/>
          <w:szCs w:val="22"/>
        </w:rPr>
      </w:pPr>
      <w:r w:rsidRPr="0042167E">
        <w:rPr>
          <w:sz w:val="22"/>
          <w:szCs w:val="22"/>
        </w:rPr>
        <w:t>szegregációs körzet felújítás önerő,</w:t>
      </w:r>
    </w:p>
    <w:p w14:paraId="2969A0F2" w14:textId="77777777" w:rsidR="00295A5D" w:rsidRPr="0042167E" w:rsidRDefault="00462EB8" w:rsidP="0042167E">
      <w:pPr>
        <w:numPr>
          <w:ilvl w:val="0"/>
          <w:numId w:val="2"/>
        </w:numPr>
        <w:jc w:val="both"/>
        <w:rPr>
          <w:sz w:val="22"/>
          <w:szCs w:val="22"/>
        </w:rPr>
      </w:pPr>
      <w:r w:rsidRPr="0042167E">
        <w:rPr>
          <w:sz w:val="22"/>
          <w:szCs w:val="22"/>
        </w:rPr>
        <w:t>sportpálya felújítás önerő,</w:t>
      </w:r>
    </w:p>
    <w:p w14:paraId="54502BEB" w14:textId="4C8C55DE" w:rsidR="00295A5D" w:rsidRPr="0042167E" w:rsidRDefault="00462EB8" w:rsidP="0042167E">
      <w:pPr>
        <w:numPr>
          <w:ilvl w:val="0"/>
          <w:numId w:val="2"/>
        </w:numPr>
        <w:jc w:val="both"/>
        <w:rPr>
          <w:sz w:val="22"/>
          <w:szCs w:val="22"/>
        </w:rPr>
      </w:pPr>
      <w:r w:rsidRPr="0042167E">
        <w:rPr>
          <w:sz w:val="22"/>
          <w:szCs w:val="22"/>
        </w:rPr>
        <w:t>fürdő bővítés ingatlan vásárlás,</w:t>
      </w:r>
      <w:r w:rsidR="0042167E">
        <w:rPr>
          <w:sz w:val="22"/>
          <w:szCs w:val="22"/>
        </w:rPr>
        <w:t xml:space="preserve"> </w:t>
      </w:r>
      <w:r w:rsidRPr="0042167E">
        <w:rPr>
          <w:sz w:val="22"/>
          <w:szCs w:val="22"/>
        </w:rPr>
        <w:t>előkészületi munkák,</w:t>
      </w:r>
    </w:p>
    <w:p w14:paraId="22B1C591" w14:textId="77777777" w:rsidR="00295A5D" w:rsidRPr="0042167E" w:rsidRDefault="00462EB8" w:rsidP="0042167E">
      <w:pPr>
        <w:numPr>
          <w:ilvl w:val="0"/>
          <w:numId w:val="2"/>
        </w:numPr>
        <w:jc w:val="both"/>
        <w:rPr>
          <w:sz w:val="22"/>
          <w:szCs w:val="22"/>
        </w:rPr>
      </w:pPr>
      <w:r w:rsidRPr="0042167E">
        <w:rPr>
          <w:sz w:val="22"/>
          <w:szCs w:val="22"/>
        </w:rPr>
        <w:t>művelődési ház felújítás,</w:t>
      </w:r>
    </w:p>
    <w:p w14:paraId="18F5146F" w14:textId="77777777" w:rsidR="00295A5D" w:rsidRPr="0042167E" w:rsidRDefault="00462EB8" w:rsidP="0042167E">
      <w:pPr>
        <w:numPr>
          <w:ilvl w:val="0"/>
          <w:numId w:val="2"/>
        </w:numPr>
        <w:jc w:val="both"/>
        <w:rPr>
          <w:sz w:val="22"/>
          <w:szCs w:val="22"/>
        </w:rPr>
      </w:pPr>
      <w:r w:rsidRPr="0042167E">
        <w:rPr>
          <w:sz w:val="22"/>
          <w:szCs w:val="22"/>
        </w:rPr>
        <w:t>közvilágítás bővítés,</w:t>
      </w:r>
    </w:p>
    <w:p w14:paraId="0D1DA81D" w14:textId="77777777" w:rsidR="00295A5D" w:rsidRPr="0042167E" w:rsidRDefault="00462EB8" w:rsidP="0042167E">
      <w:pPr>
        <w:numPr>
          <w:ilvl w:val="0"/>
          <w:numId w:val="2"/>
        </w:numPr>
        <w:jc w:val="both"/>
        <w:rPr>
          <w:sz w:val="22"/>
          <w:szCs w:val="22"/>
        </w:rPr>
      </w:pPr>
      <w:r w:rsidRPr="0042167E">
        <w:rPr>
          <w:sz w:val="22"/>
          <w:szCs w:val="22"/>
        </w:rPr>
        <w:lastRenderedPageBreak/>
        <w:t>csapadékvízelvezető hálózat bővítés,</w:t>
      </w:r>
    </w:p>
    <w:p w14:paraId="45C72671" w14:textId="77777777" w:rsidR="00295A5D" w:rsidRPr="0042167E" w:rsidRDefault="00462EB8" w:rsidP="0042167E">
      <w:pPr>
        <w:numPr>
          <w:ilvl w:val="0"/>
          <w:numId w:val="2"/>
        </w:numPr>
        <w:jc w:val="both"/>
        <w:rPr>
          <w:sz w:val="22"/>
          <w:szCs w:val="22"/>
        </w:rPr>
      </w:pPr>
      <w:r w:rsidRPr="0042167E">
        <w:rPr>
          <w:sz w:val="22"/>
          <w:szCs w:val="22"/>
        </w:rPr>
        <w:t>ivóvízkút bekötése a vízhálózatba,</w:t>
      </w:r>
    </w:p>
    <w:p w14:paraId="041AA8F4" w14:textId="77777777" w:rsidR="00295A5D" w:rsidRPr="0042167E" w:rsidRDefault="00462EB8" w:rsidP="0042167E">
      <w:pPr>
        <w:numPr>
          <w:ilvl w:val="0"/>
          <w:numId w:val="2"/>
        </w:numPr>
        <w:jc w:val="both"/>
        <w:rPr>
          <w:sz w:val="22"/>
          <w:szCs w:val="22"/>
        </w:rPr>
      </w:pPr>
      <w:r w:rsidRPr="0042167E">
        <w:rPr>
          <w:sz w:val="22"/>
          <w:szCs w:val="22"/>
        </w:rPr>
        <w:t>építmények felújítása, Petőfi 200.</w:t>
      </w:r>
    </w:p>
    <w:p w14:paraId="0DD03B56" w14:textId="77777777" w:rsidR="00295A5D" w:rsidRPr="0042167E" w:rsidRDefault="00295A5D" w:rsidP="0042167E">
      <w:pPr>
        <w:jc w:val="both"/>
        <w:rPr>
          <w:sz w:val="22"/>
          <w:szCs w:val="22"/>
        </w:rPr>
      </w:pPr>
    </w:p>
    <w:p w14:paraId="0881098B" w14:textId="77777777" w:rsidR="00295A5D" w:rsidRPr="0042167E" w:rsidRDefault="00462EB8" w:rsidP="0042167E">
      <w:pPr>
        <w:jc w:val="both"/>
        <w:rPr>
          <w:sz w:val="22"/>
          <w:szCs w:val="22"/>
        </w:rPr>
      </w:pPr>
      <w:r w:rsidRPr="0042167E">
        <w:rPr>
          <w:sz w:val="22"/>
          <w:szCs w:val="22"/>
        </w:rPr>
        <w:t>Ehhez a 100 millió Ft hitelhez kapcsolódóan került kiszámításra a várható kötelezettség.</w:t>
      </w:r>
    </w:p>
    <w:p w14:paraId="5957CEEB" w14:textId="77777777" w:rsidR="00295A5D" w:rsidRPr="0042167E" w:rsidRDefault="00295A5D" w:rsidP="0042167E">
      <w:pPr>
        <w:autoSpaceDE w:val="0"/>
        <w:jc w:val="both"/>
        <w:rPr>
          <w:sz w:val="22"/>
          <w:szCs w:val="22"/>
        </w:rPr>
      </w:pPr>
    </w:p>
    <w:p w14:paraId="18A9FAC5" w14:textId="77777777" w:rsidR="00295A5D" w:rsidRPr="0042167E" w:rsidRDefault="00462EB8" w:rsidP="0042167E">
      <w:pPr>
        <w:autoSpaceDE w:val="0"/>
        <w:jc w:val="both"/>
        <w:rPr>
          <w:sz w:val="22"/>
          <w:szCs w:val="22"/>
        </w:rPr>
      </w:pPr>
      <w:r w:rsidRPr="0042167E">
        <w:rPr>
          <w:sz w:val="22"/>
          <w:szCs w:val="22"/>
        </w:rPr>
        <w:t xml:space="preserve">A fenti tervezett hitelösszegek az esetleges felvételnek csak a lehetőségét teremtik meg, a felvételükről külön döntés szükséges. </w:t>
      </w:r>
    </w:p>
    <w:p w14:paraId="4C061289" w14:textId="77777777" w:rsidR="00295A5D" w:rsidRPr="0042167E" w:rsidRDefault="00295A5D" w:rsidP="0042167E">
      <w:pPr>
        <w:autoSpaceDE w:val="0"/>
        <w:jc w:val="both"/>
        <w:rPr>
          <w:sz w:val="22"/>
          <w:szCs w:val="22"/>
        </w:rPr>
      </w:pPr>
    </w:p>
    <w:p w14:paraId="2001E9BD" w14:textId="696115C0" w:rsidR="00295A5D" w:rsidRPr="0042167E" w:rsidRDefault="00462EB8" w:rsidP="0042167E">
      <w:pPr>
        <w:autoSpaceDE w:val="0"/>
        <w:jc w:val="both"/>
        <w:rPr>
          <w:sz w:val="22"/>
          <w:szCs w:val="22"/>
        </w:rPr>
      </w:pPr>
      <w:r w:rsidRPr="0042167E">
        <w:rPr>
          <w:sz w:val="22"/>
          <w:szCs w:val="22"/>
        </w:rPr>
        <w:t xml:space="preserve">A saját bevételek tervezése a </w:t>
      </w:r>
      <w:proofErr w:type="spellStart"/>
      <w:r w:rsidRPr="0042167E">
        <w:rPr>
          <w:sz w:val="22"/>
          <w:szCs w:val="22"/>
        </w:rPr>
        <w:t>Gst</w:t>
      </w:r>
      <w:proofErr w:type="spellEnd"/>
      <w:r w:rsidRPr="0042167E">
        <w:rPr>
          <w:sz w:val="22"/>
          <w:szCs w:val="22"/>
        </w:rPr>
        <w:t xml:space="preserve">.-ben meghatározottak szerint szükséges. A </w:t>
      </w:r>
      <w:proofErr w:type="spellStart"/>
      <w:r w:rsidRPr="0042167E">
        <w:rPr>
          <w:sz w:val="22"/>
          <w:szCs w:val="22"/>
        </w:rPr>
        <w:t>Gst</w:t>
      </w:r>
      <w:proofErr w:type="spellEnd"/>
      <w:r w:rsidRPr="0042167E">
        <w:rPr>
          <w:sz w:val="22"/>
          <w:szCs w:val="22"/>
        </w:rPr>
        <w:t>.-</w:t>
      </w:r>
      <w:proofErr w:type="spellStart"/>
      <w:r w:rsidRPr="0042167E">
        <w:rPr>
          <w:sz w:val="22"/>
          <w:szCs w:val="22"/>
        </w:rPr>
        <w:t>hez</w:t>
      </w:r>
      <w:proofErr w:type="spellEnd"/>
      <w:r w:rsidRPr="0042167E">
        <w:rPr>
          <w:sz w:val="22"/>
          <w:szCs w:val="22"/>
        </w:rPr>
        <w:t xml:space="preserve"> kapcsolódóan a 353/2011.</w:t>
      </w:r>
      <w:r w:rsidR="0042167E">
        <w:rPr>
          <w:sz w:val="22"/>
          <w:szCs w:val="22"/>
        </w:rPr>
        <w:t xml:space="preserve"> </w:t>
      </w:r>
      <w:r w:rsidRPr="0042167E">
        <w:rPr>
          <w:sz w:val="22"/>
          <w:szCs w:val="22"/>
        </w:rPr>
        <w:t xml:space="preserve">(XII.30.) Korm. rendelet az adósságot keletkeztető ügyletekhez történő hozzájárulás részletes szabályairól szóló rendelet 2.§ (1) bekezdése határozza meg az önkormányzat saját bevételeinek körét. </w:t>
      </w:r>
    </w:p>
    <w:p w14:paraId="0470B495" w14:textId="77777777" w:rsidR="00295A5D" w:rsidRPr="0042167E" w:rsidRDefault="00295A5D" w:rsidP="0042167E">
      <w:pPr>
        <w:autoSpaceDE w:val="0"/>
        <w:jc w:val="both"/>
        <w:rPr>
          <w:sz w:val="22"/>
          <w:szCs w:val="22"/>
        </w:rPr>
      </w:pPr>
    </w:p>
    <w:p w14:paraId="72CC5F17" w14:textId="77777777" w:rsidR="00295A5D" w:rsidRPr="0042167E" w:rsidRDefault="00462EB8" w:rsidP="0042167E">
      <w:pPr>
        <w:autoSpaceDE w:val="0"/>
        <w:jc w:val="both"/>
        <w:rPr>
          <w:sz w:val="22"/>
          <w:szCs w:val="22"/>
        </w:rPr>
      </w:pPr>
      <w:r w:rsidRPr="0042167E">
        <w:rPr>
          <w:sz w:val="22"/>
          <w:szCs w:val="22"/>
        </w:rPr>
        <w:t>A bevételek esetében feltételeztük, hogy a helyi adók (iparűzési, kommunális és idegenforgalmi) a továbbiakban is az önkormányzat bevételei maradnak.</w:t>
      </w:r>
    </w:p>
    <w:p w14:paraId="2568E094" w14:textId="77777777" w:rsidR="00295A5D" w:rsidRPr="0042167E" w:rsidRDefault="00295A5D" w:rsidP="0042167E">
      <w:pPr>
        <w:autoSpaceDE w:val="0"/>
        <w:jc w:val="both"/>
        <w:rPr>
          <w:sz w:val="22"/>
          <w:szCs w:val="22"/>
        </w:rPr>
      </w:pPr>
    </w:p>
    <w:p w14:paraId="437C64E8" w14:textId="77777777" w:rsidR="00295A5D" w:rsidRPr="0042167E" w:rsidRDefault="00462EB8" w:rsidP="0042167E">
      <w:pPr>
        <w:autoSpaceDE w:val="0"/>
        <w:jc w:val="both"/>
        <w:rPr>
          <w:sz w:val="22"/>
          <w:szCs w:val="22"/>
        </w:rPr>
      </w:pPr>
      <w:r w:rsidRPr="0042167E">
        <w:rPr>
          <w:sz w:val="22"/>
          <w:szCs w:val="22"/>
        </w:rPr>
        <w:t xml:space="preserve">Várhatóan a továbbiakban is realizálható a törvény alapján az önkormányzatot megillető bírság, pótlék és díjbevétel. </w:t>
      </w:r>
    </w:p>
    <w:p w14:paraId="1637FBA4" w14:textId="77777777" w:rsidR="00295A5D" w:rsidRPr="0042167E" w:rsidRDefault="00462EB8" w:rsidP="0042167E">
      <w:pPr>
        <w:autoSpaceDE w:val="0"/>
        <w:jc w:val="both"/>
        <w:rPr>
          <w:sz w:val="22"/>
          <w:szCs w:val="22"/>
        </w:rPr>
      </w:pPr>
      <w:r w:rsidRPr="0042167E">
        <w:rPr>
          <w:sz w:val="22"/>
          <w:szCs w:val="22"/>
        </w:rPr>
        <w:t>Az önkormányzati vagyon értékesítéséből és hasznosításából származó bevétellel a középtávú tervezésnél nem számolunk.</w:t>
      </w:r>
    </w:p>
    <w:p w14:paraId="7CBD7081" w14:textId="77777777" w:rsidR="00295A5D" w:rsidRPr="0042167E" w:rsidRDefault="00295A5D" w:rsidP="0042167E">
      <w:pPr>
        <w:autoSpaceDE w:val="0"/>
        <w:jc w:val="both"/>
        <w:rPr>
          <w:sz w:val="22"/>
          <w:szCs w:val="22"/>
        </w:rPr>
      </w:pPr>
    </w:p>
    <w:p w14:paraId="0A921255" w14:textId="77777777" w:rsidR="00295A5D" w:rsidRPr="0042167E" w:rsidRDefault="00462EB8" w:rsidP="0042167E">
      <w:pPr>
        <w:autoSpaceDE w:val="0"/>
        <w:jc w:val="both"/>
        <w:rPr>
          <w:sz w:val="22"/>
          <w:szCs w:val="22"/>
        </w:rPr>
      </w:pPr>
      <w:r w:rsidRPr="0042167E">
        <w:rPr>
          <w:sz w:val="22"/>
          <w:szCs w:val="22"/>
        </w:rPr>
        <w:t xml:space="preserve">A tervezet melléklete szerint az Önkormányzat adósságot keletkeztető ügyletből származó tárgyévi összes fizetési kötelezettsége az adósságot keletkeztető ügylet </w:t>
      </w:r>
      <w:proofErr w:type="spellStart"/>
      <w:r w:rsidRPr="0042167E">
        <w:rPr>
          <w:sz w:val="22"/>
          <w:szCs w:val="22"/>
        </w:rPr>
        <w:t>futamidejének</w:t>
      </w:r>
      <w:proofErr w:type="spellEnd"/>
      <w:r w:rsidRPr="0042167E">
        <w:rPr>
          <w:sz w:val="22"/>
          <w:szCs w:val="22"/>
        </w:rPr>
        <w:t xml:space="preserve"> végéig egyik évben sem haladja meg az önkormányzat adott évi saját bevételeinek 50%-át, a tárgyévet követő három évben az érték 16,2 – 17,1 % közötti.</w:t>
      </w:r>
    </w:p>
    <w:p w14:paraId="20D5F7F6" w14:textId="77777777" w:rsidR="00295A5D" w:rsidRPr="0042167E" w:rsidRDefault="00295A5D" w:rsidP="0042167E">
      <w:pPr>
        <w:jc w:val="both"/>
        <w:rPr>
          <w:sz w:val="22"/>
          <w:szCs w:val="22"/>
        </w:rPr>
      </w:pPr>
    </w:p>
    <w:p w14:paraId="4B964ADE" w14:textId="77777777" w:rsidR="00295A5D" w:rsidRPr="0042167E" w:rsidRDefault="00462EB8" w:rsidP="0042167E">
      <w:pPr>
        <w:pStyle w:val="Szvegtrzsbehzssal"/>
        <w:ind w:left="0" w:firstLine="0"/>
        <w:jc w:val="both"/>
        <w:rPr>
          <w:sz w:val="22"/>
          <w:szCs w:val="22"/>
        </w:rPr>
      </w:pPr>
      <w:r w:rsidRPr="0042167E">
        <w:rPr>
          <w:sz w:val="22"/>
          <w:szCs w:val="22"/>
        </w:rPr>
        <w:t>A fentiek alapján javaslom, hogy a Képviselő-testület határozat-tervezetben foglaltak szerint döntsön.</w:t>
      </w:r>
    </w:p>
    <w:p w14:paraId="5FC310D2" w14:textId="77777777" w:rsidR="00295A5D" w:rsidRPr="0042167E" w:rsidRDefault="00295A5D" w:rsidP="0042167E">
      <w:pPr>
        <w:jc w:val="both"/>
        <w:rPr>
          <w:sz w:val="22"/>
          <w:szCs w:val="22"/>
        </w:rPr>
      </w:pPr>
    </w:p>
    <w:p w14:paraId="596930E3" w14:textId="77777777" w:rsidR="00295A5D" w:rsidRPr="0042167E" w:rsidRDefault="00295A5D" w:rsidP="0042167E">
      <w:pPr>
        <w:tabs>
          <w:tab w:val="left" w:pos="567"/>
          <w:tab w:val="right" w:pos="8789"/>
          <w:tab w:val="left" w:pos="9072"/>
        </w:tabs>
        <w:jc w:val="both"/>
        <w:rPr>
          <w:b/>
          <w:bCs/>
          <w:sz w:val="22"/>
          <w:szCs w:val="22"/>
        </w:rPr>
      </w:pPr>
    </w:p>
    <w:p w14:paraId="3385642F" w14:textId="6B3DB28A" w:rsidR="00295A5D" w:rsidRPr="0042167E" w:rsidRDefault="00462EB8" w:rsidP="0042167E">
      <w:pPr>
        <w:tabs>
          <w:tab w:val="left" w:pos="567"/>
          <w:tab w:val="right" w:pos="8789"/>
          <w:tab w:val="left" w:pos="9072"/>
        </w:tabs>
        <w:jc w:val="both"/>
        <w:rPr>
          <w:sz w:val="22"/>
          <w:szCs w:val="22"/>
        </w:rPr>
      </w:pPr>
      <w:r w:rsidRPr="0042167E">
        <w:rPr>
          <w:b/>
          <w:bCs/>
          <w:sz w:val="22"/>
          <w:szCs w:val="22"/>
        </w:rPr>
        <w:t xml:space="preserve">Kiskőrös, 2022. február </w:t>
      </w:r>
      <w:r w:rsidR="0042167E">
        <w:rPr>
          <w:b/>
          <w:bCs/>
          <w:sz w:val="22"/>
          <w:szCs w:val="22"/>
        </w:rPr>
        <w:t>15</w:t>
      </w:r>
      <w:r w:rsidRPr="0042167E">
        <w:rPr>
          <w:b/>
          <w:bCs/>
          <w:sz w:val="22"/>
          <w:szCs w:val="22"/>
        </w:rPr>
        <w:t>.</w:t>
      </w:r>
    </w:p>
    <w:p w14:paraId="1F61323F" w14:textId="506D2A81" w:rsidR="00295A5D" w:rsidRDefault="00295A5D" w:rsidP="0042167E">
      <w:pPr>
        <w:tabs>
          <w:tab w:val="left" w:pos="567"/>
          <w:tab w:val="right" w:pos="8789"/>
          <w:tab w:val="left" w:pos="9072"/>
        </w:tabs>
        <w:jc w:val="both"/>
        <w:rPr>
          <w:b/>
          <w:bCs/>
          <w:sz w:val="22"/>
          <w:szCs w:val="22"/>
        </w:rPr>
      </w:pPr>
    </w:p>
    <w:p w14:paraId="07046671" w14:textId="77777777" w:rsidR="00462EB8" w:rsidRPr="0042167E" w:rsidRDefault="00462EB8" w:rsidP="0042167E">
      <w:pPr>
        <w:tabs>
          <w:tab w:val="left" w:pos="567"/>
          <w:tab w:val="right" w:pos="8789"/>
          <w:tab w:val="left" w:pos="9072"/>
        </w:tabs>
        <w:jc w:val="both"/>
        <w:rPr>
          <w:b/>
          <w:bCs/>
          <w:sz w:val="22"/>
          <w:szCs w:val="22"/>
        </w:rPr>
      </w:pPr>
    </w:p>
    <w:p w14:paraId="6ED16630" w14:textId="0E9F507D" w:rsidR="00295A5D" w:rsidRPr="0042167E" w:rsidRDefault="00462EB8" w:rsidP="0042167E">
      <w:pPr>
        <w:tabs>
          <w:tab w:val="left" w:pos="567"/>
          <w:tab w:val="right" w:pos="8789"/>
          <w:tab w:val="left" w:pos="9072"/>
        </w:tabs>
        <w:ind w:left="6379"/>
        <w:jc w:val="center"/>
        <w:rPr>
          <w:sz w:val="22"/>
          <w:szCs w:val="22"/>
        </w:rPr>
      </w:pPr>
      <w:r w:rsidRPr="0042167E">
        <w:rPr>
          <w:b/>
          <w:bCs/>
          <w:sz w:val="22"/>
          <w:szCs w:val="22"/>
        </w:rPr>
        <w:t>Domonyi László s.k.</w:t>
      </w:r>
      <w:r w:rsidR="001132A5">
        <w:rPr>
          <w:b/>
          <w:bCs/>
          <w:sz w:val="22"/>
          <w:szCs w:val="22"/>
        </w:rPr>
        <w:t>,</w:t>
      </w:r>
    </w:p>
    <w:p w14:paraId="724A2E54" w14:textId="65A39A8E" w:rsidR="00295A5D" w:rsidRPr="0042167E" w:rsidRDefault="00462EB8" w:rsidP="0042167E">
      <w:pPr>
        <w:tabs>
          <w:tab w:val="left" w:pos="567"/>
          <w:tab w:val="right" w:pos="8789"/>
          <w:tab w:val="left" w:pos="9072"/>
        </w:tabs>
        <w:ind w:left="6379"/>
        <w:jc w:val="center"/>
        <w:rPr>
          <w:sz w:val="22"/>
          <w:szCs w:val="22"/>
        </w:rPr>
      </w:pPr>
      <w:r>
        <w:rPr>
          <w:b/>
          <w:sz w:val="22"/>
          <w:szCs w:val="22"/>
        </w:rPr>
        <w:t>p</w:t>
      </w:r>
      <w:r w:rsidRPr="0042167E">
        <w:rPr>
          <w:b/>
          <w:sz w:val="22"/>
          <w:szCs w:val="22"/>
        </w:rPr>
        <w:t>olgármester</w:t>
      </w:r>
    </w:p>
    <w:p w14:paraId="22E04620" w14:textId="77777777" w:rsidR="00295A5D" w:rsidRPr="0042167E" w:rsidRDefault="00295A5D" w:rsidP="0042167E">
      <w:pPr>
        <w:tabs>
          <w:tab w:val="left" w:pos="567"/>
          <w:tab w:val="right" w:pos="8789"/>
          <w:tab w:val="left" w:pos="9072"/>
        </w:tabs>
        <w:jc w:val="center"/>
        <w:rPr>
          <w:b/>
          <w:sz w:val="22"/>
          <w:szCs w:val="22"/>
        </w:rPr>
      </w:pPr>
    </w:p>
    <w:p w14:paraId="10EF0BF9" w14:textId="38F74215" w:rsidR="00295A5D" w:rsidRDefault="00295A5D" w:rsidP="0042167E">
      <w:pPr>
        <w:tabs>
          <w:tab w:val="left" w:pos="567"/>
          <w:tab w:val="right" w:pos="8789"/>
          <w:tab w:val="left" w:pos="9072"/>
        </w:tabs>
        <w:jc w:val="center"/>
        <w:rPr>
          <w:b/>
          <w:sz w:val="22"/>
          <w:szCs w:val="22"/>
        </w:rPr>
      </w:pPr>
    </w:p>
    <w:p w14:paraId="00AEF37A" w14:textId="77777777" w:rsidR="0042167E" w:rsidRPr="0042167E" w:rsidRDefault="0042167E" w:rsidP="0042167E">
      <w:pPr>
        <w:tabs>
          <w:tab w:val="left" w:pos="567"/>
          <w:tab w:val="right" w:pos="8789"/>
          <w:tab w:val="left" w:pos="9072"/>
        </w:tabs>
        <w:jc w:val="center"/>
        <w:rPr>
          <w:b/>
          <w:sz w:val="22"/>
          <w:szCs w:val="22"/>
        </w:rPr>
      </w:pPr>
    </w:p>
    <w:p w14:paraId="3DAB1AD6" w14:textId="77777777" w:rsidR="00295A5D" w:rsidRPr="0042167E" w:rsidRDefault="00295A5D" w:rsidP="0042167E">
      <w:pPr>
        <w:tabs>
          <w:tab w:val="left" w:pos="567"/>
          <w:tab w:val="right" w:pos="8789"/>
          <w:tab w:val="left" w:pos="9072"/>
        </w:tabs>
        <w:jc w:val="center"/>
        <w:rPr>
          <w:b/>
          <w:sz w:val="22"/>
          <w:szCs w:val="22"/>
        </w:rPr>
      </w:pPr>
    </w:p>
    <w:p w14:paraId="6831533D" w14:textId="77777777" w:rsidR="00295A5D" w:rsidRPr="0042167E" w:rsidRDefault="00462EB8" w:rsidP="0042167E">
      <w:pPr>
        <w:tabs>
          <w:tab w:val="left" w:pos="567"/>
          <w:tab w:val="right" w:pos="8789"/>
          <w:tab w:val="left" w:pos="9072"/>
        </w:tabs>
        <w:jc w:val="center"/>
        <w:rPr>
          <w:sz w:val="22"/>
          <w:szCs w:val="22"/>
        </w:rPr>
      </w:pPr>
      <w:r w:rsidRPr="0042167E">
        <w:rPr>
          <w:b/>
          <w:sz w:val="22"/>
          <w:szCs w:val="22"/>
        </w:rPr>
        <w:t>HATÁROZAT-TERVEZET</w:t>
      </w:r>
    </w:p>
    <w:p w14:paraId="475340A6" w14:textId="77777777" w:rsidR="00295A5D" w:rsidRPr="0042167E" w:rsidRDefault="00295A5D" w:rsidP="0042167E">
      <w:pPr>
        <w:tabs>
          <w:tab w:val="left" w:pos="567"/>
          <w:tab w:val="right" w:pos="8789"/>
          <w:tab w:val="left" w:pos="9072"/>
        </w:tabs>
        <w:jc w:val="both"/>
        <w:rPr>
          <w:b/>
          <w:sz w:val="22"/>
          <w:szCs w:val="22"/>
        </w:rPr>
      </w:pPr>
    </w:p>
    <w:p w14:paraId="5FE3F2F3" w14:textId="77777777" w:rsidR="00295A5D" w:rsidRPr="0042167E" w:rsidRDefault="00295A5D" w:rsidP="0042167E">
      <w:pPr>
        <w:autoSpaceDE w:val="0"/>
        <w:jc w:val="both"/>
        <w:rPr>
          <w:b/>
          <w:sz w:val="22"/>
          <w:szCs w:val="22"/>
        </w:rPr>
      </w:pPr>
    </w:p>
    <w:p w14:paraId="46EC3B87" w14:textId="0FEAECD8" w:rsidR="00295A5D" w:rsidRPr="0042167E" w:rsidRDefault="00462EB8" w:rsidP="0042167E">
      <w:pPr>
        <w:autoSpaceDE w:val="0"/>
        <w:jc w:val="both"/>
        <w:rPr>
          <w:sz w:val="22"/>
          <w:szCs w:val="22"/>
        </w:rPr>
      </w:pPr>
      <w:r w:rsidRPr="0042167E">
        <w:rPr>
          <w:sz w:val="22"/>
          <w:szCs w:val="22"/>
        </w:rPr>
        <w:t xml:space="preserve">Kiskőrös Város Önkormányzatának Képviselő-testülete Magyarország gazdasági stabilitásáról szóló 2011. évi CXCIV. törvény (a továbbiakban: </w:t>
      </w:r>
      <w:proofErr w:type="spellStart"/>
      <w:r w:rsidRPr="0042167E">
        <w:rPr>
          <w:sz w:val="22"/>
          <w:szCs w:val="22"/>
        </w:rPr>
        <w:t>Gst</w:t>
      </w:r>
      <w:proofErr w:type="spellEnd"/>
      <w:r w:rsidRPr="0042167E">
        <w:rPr>
          <w:sz w:val="22"/>
          <w:szCs w:val="22"/>
        </w:rPr>
        <w:t xml:space="preserve">.) 45. § (1) bekezdés a) pontjában kapott felhatalmazás alapján kiadott jogszabályban meghatározottak szerinti saját bevételeinek és a </w:t>
      </w:r>
      <w:proofErr w:type="spellStart"/>
      <w:r w:rsidRPr="0042167E">
        <w:rPr>
          <w:sz w:val="22"/>
          <w:szCs w:val="22"/>
        </w:rPr>
        <w:t>Gst</w:t>
      </w:r>
      <w:proofErr w:type="spellEnd"/>
      <w:r w:rsidRPr="0042167E">
        <w:rPr>
          <w:sz w:val="22"/>
          <w:szCs w:val="22"/>
        </w:rPr>
        <w:t>. 8.</w:t>
      </w:r>
      <w:r w:rsidR="0042167E">
        <w:rPr>
          <w:sz w:val="22"/>
          <w:szCs w:val="22"/>
        </w:rPr>
        <w:t xml:space="preserve"> </w:t>
      </w:r>
      <w:r w:rsidRPr="0042167E">
        <w:rPr>
          <w:sz w:val="22"/>
          <w:szCs w:val="22"/>
        </w:rPr>
        <w:t>§ (2) bekezdése szerinti adósságot keletkeztető ügyleteiből eredő fizetési kötelezettségeinek a 2022. évet követő három évre várható összegét a határozat mellékletében foglaltak szerint állapítja meg.</w:t>
      </w:r>
    </w:p>
    <w:p w14:paraId="6FB48F6B" w14:textId="77777777" w:rsidR="00295A5D" w:rsidRPr="0042167E" w:rsidRDefault="00295A5D" w:rsidP="0042167E">
      <w:pPr>
        <w:tabs>
          <w:tab w:val="left" w:pos="567"/>
          <w:tab w:val="right" w:pos="8789"/>
          <w:tab w:val="left" w:pos="9072"/>
        </w:tabs>
        <w:jc w:val="both"/>
        <w:rPr>
          <w:sz w:val="22"/>
          <w:szCs w:val="22"/>
        </w:rPr>
      </w:pPr>
    </w:p>
    <w:p w14:paraId="7CEEF2DB" w14:textId="77777777" w:rsidR="00295A5D" w:rsidRPr="0042167E" w:rsidRDefault="00295A5D" w:rsidP="0042167E">
      <w:pPr>
        <w:tabs>
          <w:tab w:val="left" w:pos="567"/>
          <w:tab w:val="right" w:pos="8789"/>
          <w:tab w:val="left" w:pos="9072"/>
        </w:tabs>
        <w:jc w:val="both"/>
        <w:rPr>
          <w:b/>
          <w:sz w:val="22"/>
          <w:szCs w:val="22"/>
          <w:u w:val="single"/>
        </w:rPr>
      </w:pPr>
    </w:p>
    <w:p w14:paraId="75E7A67A" w14:textId="77777777" w:rsidR="00295A5D" w:rsidRPr="0042167E" w:rsidRDefault="00462EB8" w:rsidP="0042167E">
      <w:pPr>
        <w:tabs>
          <w:tab w:val="left" w:pos="567"/>
          <w:tab w:val="right" w:pos="8789"/>
          <w:tab w:val="left" w:pos="9072"/>
        </w:tabs>
        <w:jc w:val="both"/>
        <w:rPr>
          <w:sz w:val="22"/>
          <w:szCs w:val="22"/>
        </w:rPr>
      </w:pPr>
      <w:r w:rsidRPr="0042167E">
        <w:rPr>
          <w:b/>
          <w:sz w:val="22"/>
          <w:szCs w:val="22"/>
          <w:u w:val="single"/>
        </w:rPr>
        <w:t>Felelős:</w:t>
      </w:r>
      <w:r w:rsidRPr="0042167E">
        <w:rPr>
          <w:sz w:val="22"/>
          <w:szCs w:val="22"/>
        </w:rPr>
        <w:t xml:space="preserve">                        polgármester</w:t>
      </w:r>
    </w:p>
    <w:p w14:paraId="52EA9E50" w14:textId="77777777" w:rsidR="00295A5D" w:rsidRPr="0042167E" w:rsidRDefault="00462EB8" w:rsidP="0042167E">
      <w:pPr>
        <w:tabs>
          <w:tab w:val="left" w:pos="567"/>
          <w:tab w:val="right" w:pos="8789"/>
          <w:tab w:val="left" w:pos="9072"/>
        </w:tabs>
        <w:jc w:val="both"/>
        <w:rPr>
          <w:sz w:val="22"/>
          <w:szCs w:val="22"/>
        </w:rPr>
      </w:pPr>
      <w:r w:rsidRPr="0042167E">
        <w:rPr>
          <w:b/>
          <w:sz w:val="22"/>
          <w:szCs w:val="22"/>
          <w:u w:val="single"/>
        </w:rPr>
        <w:t>Határidő:</w:t>
      </w:r>
      <w:r w:rsidRPr="0042167E">
        <w:rPr>
          <w:sz w:val="22"/>
          <w:szCs w:val="22"/>
        </w:rPr>
        <w:t xml:space="preserve">                     azonnal</w:t>
      </w:r>
    </w:p>
    <w:p w14:paraId="0DC856FB" w14:textId="77777777" w:rsidR="00295A5D" w:rsidRPr="0042167E" w:rsidRDefault="00295A5D" w:rsidP="0042167E">
      <w:pPr>
        <w:autoSpaceDE w:val="0"/>
        <w:jc w:val="both"/>
        <w:rPr>
          <w:sz w:val="22"/>
          <w:szCs w:val="22"/>
        </w:rPr>
      </w:pPr>
    </w:p>
    <w:p w14:paraId="59BD8E95" w14:textId="77777777" w:rsidR="00295A5D" w:rsidRDefault="00295A5D">
      <w:pPr>
        <w:jc w:val="center"/>
      </w:pPr>
    </w:p>
    <w:sectPr w:rsidR="00295A5D">
      <w:footerReference w:type="default" r:id="rId7"/>
      <w:footerReference w:type="first" r:id="rId8"/>
      <w:pgSz w:w="11906" w:h="16838"/>
      <w:pgMar w:top="1134" w:right="1418" w:bottom="1207" w:left="1418" w:header="708" w:footer="11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4E08E" w14:textId="77777777" w:rsidR="00295A5D" w:rsidRDefault="00462EB8">
      <w:r>
        <w:separator/>
      </w:r>
    </w:p>
  </w:endnote>
  <w:endnote w:type="continuationSeparator" w:id="0">
    <w:p w14:paraId="4FF35B58" w14:textId="77777777" w:rsidR="00295A5D" w:rsidRDefault="00462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888B9" w14:textId="2949A8B2" w:rsidR="00295A5D" w:rsidRDefault="0042167E">
    <w:pPr>
      <w:pStyle w:val="llb"/>
    </w:pPr>
    <w:r>
      <w:rPr>
        <w:noProof/>
      </w:rPr>
      <mc:AlternateContent>
        <mc:Choice Requires="wps">
          <w:drawing>
            <wp:anchor distT="0" distB="0" distL="0" distR="0" simplePos="0" relativeHeight="251657728" behindDoc="0" locked="0" layoutInCell="1" allowOverlap="1" wp14:anchorId="711C7C10" wp14:editId="07783303">
              <wp:simplePos x="0" y="0"/>
              <wp:positionH relativeFrom="margin">
                <wp:align>center</wp:align>
              </wp:positionH>
              <wp:positionV relativeFrom="paragraph">
                <wp:posOffset>635</wp:posOffset>
              </wp:positionV>
              <wp:extent cx="53340" cy="13589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 cy="135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D06BA5" w14:textId="77777777" w:rsidR="00295A5D" w:rsidRDefault="00462EB8">
                          <w:pPr>
                            <w:pStyle w:val="llb"/>
                          </w:pPr>
                          <w:r>
                            <w:rPr>
                              <w:rStyle w:val="Oldalszm"/>
                            </w:rPr>
                            <w:fldChar w:fldCharType="begin"/>
                          </w:r>
                          <w:r>
                            <w:rPr>
                              <w:rStyle w:val="Oldalszm"/>
                            </w:rPr>
                            <w:instrText xml:space="preserve"> PAGE </w:instrText>
                          </w:r>
                          <w:r>
                            <w:rPr>
                              <w:rStyle w:val="Oldalszm"/>
                            </w:rPr>
                            <w:fldChar w:fldCharType="separate"/>
                          </w:r>
                          <w:r>
                            <w:rPr>
                              <w:rStyle w:val="Oldalszm"/>
                            </w:rPr>
                            <w:t>2</w:t>
                          </w:r>
                          <w:r>
                            <w:rPr>
                              <w:rStyle w:val="Oldalszm"/>
                            </w:rPr>
                            <w:fldChar w:fldCharType="end"/>
                          </w:r>
                        </w:p>
                      </w:txbxContent>
                    </wps:txbx>
                    <wps:bodyPr rot="0" vert="horz" wrap="square" lIns="10160" tIns="10160" rIns="10160" bIns="101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C7C10" id="_x0000_t202" coordsize="21600,21600" o:spt="202" path="m,l,21600r21600,l21600,xe">
              <v:stroke joinstyle="miter"/>
              <v:path gradientshapeok="t" o:connecttype="rect"/>
            </v:shapetype>
            <v:shape id="Text Box 1" o:spid="_x0000_s1026" type="#_x0000_t202" style="position:absolute;margin-left:0;margin-top:.05pt;width:4.2pt;height:10.7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" stroked="f">
              <v:textbox inset=".8pt,.8pt,.8pt,.8pt">
                <w:txbxContent>
                  <w:p w14:paraId="6CD06BA5" w14:textId="77777777" w:rsidR="00000000" w:rsidRDefault="00462EB8">
                    <w:pPr>
                      <w:pStyle w:val="llb"/>
                    </w:pPr>
                    <w:r>
                      <w:rPr>
                        <w:rStyle w:val="Oldalszm"/>
                      </w:rPr>
                      <w:fldChar w:fldCharType="begin"/>
                    </w:r>
                    <w:r>
                      <w:rPr>
                        <w:rStyle w:val="Oldalszm"/>
                      </w:rPr>
                      <w:instrText xml:space="preserve"> PAGE </w:instrText>
                    </w:r>
                    <w:r>
                      <w:rPr>
                        <w:rStyle w:val="Oldalszm"/>
                      </w:rPr>
                      <w:fldChar w:fldCharType="separate"/>
                    </w:r>
                    <w:r>
                      <w:rPr>
                        <w:rStyle w:val="Oldalszm"/>
                      </w:rPr>
                      <w:t>2</w:t>
                    </w:r>
                    <w:r>
                      <w:rPr>
                        <w:rStyle w:val="Oldalszm"/>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DB75" w14:textId="77777777" w:rsidR="00295A5D" w:rsidRDefault="00295A5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3DB32" w14:textId="77777777" w:rsidR="00295A5D" w:rsidRDefault="00462EB8">
      <w:r>
        <w:separator/>
      </w:r>
    </w:p>
  </w:footnote>
  <w:footnote w:type="continuationSeparator" w:id="0">
    <w:p w14:paraId="2C53BCB3" w14:textId="77777777" w:rsidR="00295A5D" w:rsidRDefault="00462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780"/>
        </w:tabs>
        <w:ind w:left="780" w:hanging="360"/>
      </w:pPr>
      <w:rPr>
        <w:rFonts w:ascii="Symbol" w:hAnsi="Symbol" w:cs="OpenSymbol"/>
        <w:sz w:val="22"/>
        <w:szCs w:val="22"/>
      </w:rPr>
    </w:lvl>
    <w:lvl w:ilvl="1">
      <w:start w:val="1"/>
      <w:numFmt w:val="bullet"/>
      <w:lvlText w:val="◦"/>
      <w:lvlJc w:val="left"/>
      <w:pPr>
        <w:tabs>
          <w:tab w:val="num" w:pos="1140"/>
        </w:tabs>
        <w:ind w:left="1140" w:hanging="360"/>
      </w:pPr>
      <w:rPr>
        <w:rFonts w:ascii="OpenSymbol" w:hAnsi="OpenSymbol" w:cs="OpenSymbol"/>
      </w:rPr>
    </w:lvl>
    <w:lvl w:ilvl="2">
      <w:start w:val="1"/>
      <w:numFmt w:val="bullet"/>
      <w:lvlText w:val="▪"/>
      <w:lvlJc w:val="left"/>
      <w:pPr>
        <w:tabs>
          <w:tab w:val="num" w:pos="1500"/>
        </w:tabs>
        <w:ind w:left="1500" w:hanging="360"/>
      </w:pPr>
      <w:rPr>
        <w:rFonts w:ascii="OpenSymbol" w:hAnsi="OpenSymbol" w:cs="OpenSymbol"/>
      </w:rPr>
    </w:lvl>
    <w:lvl w:ilvl="3">
      <w:start w:val="1"/>
      <w:numFmt w:val="bullet"/>
      <w:lvlText w:val=""/>
      <w:lvlJc w:val="left"/>
      <w:pPr>
        <w:tabs>
          <w:tab w:val="num" w:pos="1860"/>
        </w:tabs>
        <w:ind w:left="1860" w:hanging="360"/>
      </w:pPr>
      <w:rPr>
        <w:rFonts w:ascii="Symbol" w:hAnsi="Symbol" w:cs="OpenSymbol"/>
        <w:sz w:val="22"/>
        <w:szCs w:val="22"/>
      </w:rPr>
    </w:lvl>
    <w:lvl w:ilvl="4">
      <w:start w:val="1"/>
      <w:numFmt w:val="bullet"/>
      <w:lvlText w:val="◦"/>
      <w:lvlJc w:val="left"/>
      <w:pPr>
        <w:tabs>
          <w:tab w:val="num" w:pos="2220"/>
        </w:tabs>
        <w:ind w:left="2220" w:hanging="360"/>
      </w:pPr>
      <w:rPr>
        <w:rFonts w:ascii="OpenSymbol" w:hAnsi="OpenSymbol" w:cs="OpenSymbol"/>
      </w:rPr>
    </w:lvl>
    <w:lvl w:ilvl="5">
      <w:start w:val="1"/>
      <w:numFmt w:val="bullet"/>
      <w:lvlText w:val="▪"/>
      <w:lvlJc w:val="left"/>
      <w:pPr>
        <w:tabs>
          <w:tab w:val="num" w:pos="2580"/>
        </w:tabs>
        <w:ind w:left="2580" w:hanging="360"/>
      </w:pPr>
      <w:rPr>
        <w:rFonts w:ascii="OpenSymbol" w:hAnsi="OpenSymbol" w:cs="OpenSymbol"/>
      </w:rPr>
    </w:lvl>
    <w:lvl w:ilvl="6">
      <w:start w:val="1"/>
      <w:numFmt w:val="bullet"/>
      <w:lvlText w:val=""/>
      <w:lvlJc w:val="left"/>
      <w:pPr>
        <w:tabs>
          <w:tab w:val="num" w:pos="2940"/>
        </w:tabs>
        <w:ind w:left="2940" w:hanging="360"/>
      </w:pPr>
      <w:rPr>
        <w:rFonts w:ascii="Symbol" w:hAnsi="Symbol" w:cs="OpenSymbol"/>
        <w:sz w:val="22"/>
        <w:szCs w:val="22"/>
      </w:rPr>
    </w:lvl>
    <w:lvl w:ilvl="7">
      <w:start w:val="1"/>
      <w:numFmt w:val="bullet"/>
      <w:lvlText w:val="◦"/>
      <w:lvlJc w:val="left"/>
      <w:pPr>
        <w:tabs>
          <w:tab w:val="num" w:pos="3300"/>
        </w:tabs>
        <w:ind w:left="3300" w:hanging="360"/>
      </w:pPr>
      <w:rPr>
        <w:rFonts w:ascii="OpenSymbol" w:hAnsi="OpenSymbol" w:cs="OpenSymbol"/>
      </w:rPr>
    </w:lvl>
    <w:lvl w:ilvl="8">
      <w:start w:val="1"/>
      <w:numFmt w:val="bullet"/>
      <w:lvlText w:val="▪"/>
      <w:lvlJc w:val="left"/>
      <w:pPr>
        <w:tabs>
          <w:tab w:val="num" w:pos="3660"/>
        </w:tabs>
        <w:ind w:left="3660" w:hanging="360"/>
      </w:pPr>
      <w:rPr>
        <w:rFonts w:ascii="OpenSymbol" w:hAnsi="Open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colormenu v:ext="edit" fillcolor="none [4]" strokecolor="none [1]" shadowcolor="none [2]"/>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67E"/>
    <w:rsid w:val="001132A5"/>
    <w:rsid w:val="00295A5D"/>
    <w:rsid w:val="0042167E"/>
    <w:rsid w:val="00462EB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4:docId w14:val="385887E5"/>
  <w15:chartTrackingRefBased/>
  <w15:docId w15:val="{05A27806-EE0D-4138-96C8-1F18AB27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uppressAutoHyphens/>
    </w:pPr>
    <w:rPr>
      <w:lang w:eastAsia="zh-CN"/>
    </w:rPr>
  </w:style>
  <w:style w:type="paragraph" w:styleId="Cmsor1">
    <w:name w:val="heading 1"/>
    <w:basedOn w:val="Norml"/>
    <w:next w:val="Norml"/>
    <w:qFormat/>
    <w:pPr>
      <w:keepNext/>
      <w:numPr>
        <w:numId w:val="1"/>
      </w:numPr>
      <w:jc w:val="both"/>
      <w:outlineLvl w:val="0"/>
    </w:pPr>
    <w:rPr>
      <w:b/>
      <w:color w:val="FF0000"/>
      <w:sz w:val="24"/>
    </w:rPr>
  </w:style>
  <w:style w:type="paragraph" w:styleId="Cmsor2">
    <w:name w:val="heading 2"/>
    <w:basedOn w:val="Norml"/>
    <w:next w:val="Norml"/>
    <w:qFormat/>
    <w:pPr>
      <w:keepNext/>
      <w:numPr>
        <w:ilvl w:val="1"/>
        <w:numId w:val="1"/>
      </w:numPr>
      <w:spacing w:before="240" w:after="60"/>
      <w:outlineLvl w:val="1"/>
    </w:pPr>
    <w:rPr>
      <w:rFonts w:ascii="Arial" w:hAnsi="Arial" w:cs="Arial"/>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sz w:val="22"/>
      <w:szCs w:val="22"/>
    </w:rPr>
  </w:style>
  <w:style w:type="character" w:customStyle="1" w:styleId="WW8Num2z1">
    <w:name w:val="WW8Num2z1"/>
    <w:rPr>
      <w:rFonts w:ascii="OpenSymbol" w:hAnsi="OpenSymbol" w:cs="Open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u w:val="none"/>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u w:val="none"/>
    </w:rPr>
  </w:style>
  <w:style w:type="character" w:customStyle="1" w:styleId="WW8Num11z0">
    <w:name w:val="WW8Num11z0"/>
    <w:rPr>
      <w:rFonts w:ascii="Symbol" w:hAnsi="Symbol" w:cs="Symbol" w:hint="default"/>
    </w:rPr>
  </w:style>
  <w:style w:type="character" w:customStyle="1" w:styleId="WW8Num11z1">
    <w:name w:val="WW8Num11z1"/>
    <w:rPr>
      <w:rFonts w:ascii="Wingdings" w:hAnsi="Wingdings" w:cs="Wingdings" w:hint="default"/>
    </w:rPr>
  </w:style>
  <w:style w:type="character" w:customStyle="1" w:styleId="WW8Num11z4">
    <w:name w:val="WW8Num11z4"/>
    <w:rPr>
      <w:rFonts w:ascii="Courier New" w:hAnsi="Courier New" w:cs="Courier New" w:hint="default"/>
    </w:rPr>
  </w:style>
  <w:style w:type="character" w:customStyle="1" w:styleId="Bekezdsalapbettpusa1">
    <w:name w:val="Bekezdés alapbetűtípusa1"/>
  </w:style>
  <w:style w:type="character" w:styleId="Oldalszm">
    <w:name w:val="page number"/>
    <w:basedOn w:val="Bekezdsalapbettpusa1"/>
  </w:style>
  <w:style w:type="character" w:customStyle="1" w:styleId="HeaderChar">
    <w:name w:val="Header Char"/>
    <w:basedOn w:val="Bekezdsalapbettpusa1"/>
    <w:rPr>
      <w:lang w:val="hu-HU" w:bidi="ar-SA"/>
    </w:rPr>
  </w:style>
  <w:style w:type="character" w:customStyle="1" w:styleId="Felsorolsjel">
    <w:name w:val="Felsorolásjel"/>
    <w:rPr>
      <w:rFonts w:ascii="OpenSymbol" w:eastAsia="OpenSymbol" w:hAnsi="OpenSymbol" w:cs="OpenSymbol"/>
    </w:rPr>
  </w:style>
  <w:style w:type="paragraph" w:customStyle="1" w:styleId="Cmsor">
    <w:name w:val="Címsor"/>
    <w:basedOn w:val="Norml"/>
    <w:next w:val="Szvegtrzs"/>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88"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szCs w:val="24"/>
    </w:rPr>
  </w:style>
  <w:style w:type="paragraph" w:customStyle="1" w:styleId="Trgymutat">
    <w:name w:val="Tárgymutató"/>
    <w:basedOn w:val="Norml"/>
    <w:pPr>
      <w:suppressLineNumbers/>
    </w:pPr>
    <w:rPr>
      <w:rFonts w:cs="Arial"/>
    </w:rPr>
  </w:style>
  <w:style w:type="paragraph" w:styleId="llb">
    <w:name w:val="footer"/>
    <w:basedOn w:val="Norml"/>
    <w:pPr>
      <w:tabs>
        <w:tab w:val="center" w:pos="4536"/>
        <w:tab w:val="right" w:pos="9072"/>
      </w:tabs>
    </w:pPr>
  </w:style>
  <w:style w:type="paragraph" w:styleId="lfej">
    <w:name w:val="header"/>
    <w:basedOn w:val="Norml"/>
    <w:pPr>
      <w:tabs>
        <w:tab w:val="center" w:pos="4536"/>
        <w:tab w:val="right" w:pos="9072"/>
      </w:tabs>
    </w:pPr>
  </w:style>
  <w:style w:type="paragraph" w:styleId="Szvegtrzsbehzssal">
    <w:name w:val="Body Text Indent"/>
    <w:basedOn w:val="Norml"/>
    <w:pPr>
      <w:ind w:left="993" w:hanging="993"/>
    </w:pPr>
    <w:rPr>
      <w:sz w:val="24"/>
    </w:rPr>
  </w:style>
  <w:style w:type="paragraph" w:styleId="Buborkszveg">
    <w:name w:val="Balloon Text"/>
    <w:basedOn w:val="Norml"/>
    <w:rPr>
      <w:rFonts w:ascii="Tahoma" w:hAnsi="Tahoma" w:cs="Tahoma"/>
      <w:sz w:val="16"/>
      <w:szCs w:val="16"/>
    </w:rPr>
  </w:style>
  <w:style w:type="paragraph" w:customStyle="1" w:styleId="Char">
    <w:name w:val="Char"/>
    <w:basedOn w:val="Norml"/>
    <w:pPr>
      <w:spacing w:after="160" w:line="240" w:lineRule="exact"/>
    </w:pPr>
    <w:rPr>
      <w:rFonts w:ascii="Verdana" w:hAnsi="Verdana" w:cs="Verdana"/>
      <w:lang w:val="en-US"/>
    </w:rPr>
  </w:style>
  <w:style w:type="paragraph" w:customStyle="1" w:styleId="Kerettartalom">
    <w:name w:val="Kerettartalom"/>
    <w:basedOn w:val="Norm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701</Words>
  <Characters>4837</Characters>
  <Application>Microsoft Office Word</Application>
  <DocSecurity>0</DocSecurity>
  <Lines>40</Lines>
  <Paragraphs>11</Paragraphs>
  <ScaleCrop>false</ScaleCrop>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KISKŐRÖS VÁROS POLGÁRMESTERE</dc:title>
  <dc:subject/>
  <dc:creator>Polgármesteri Hivatal</dc:creator>
  <cp:keywords/>
  <cp:lastModifiedBy>Lucza Alexandra</cp:lastModifiedBy>
  <cp:revision>4</cp:revision>
  <cp:lastPrinted>2020-01-15T16:42:00Z</cp:lastPrinted>
  <dcterms:created xsi:type="dcterms:W3CDTF">2022-02-15T10:20:00Z</dcterms:created>
  <dcterms:modified xsi:type="dcterms:W3CDTF">2022-02-21T16:08:00Z</dcterms:modified>
</cp:coreProperties>
</file>