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2369" w14:textId="47743BA1" w:rsidR="00A56344" w:rsidRPr="00A65B48" w:rsidRDefault="00A56344" w:rsidP="00A56344">
      <w:pPr>
        <w:jc w:val="center"/>
        <w:rPr>
          <w:b/>
        </w:rPr>
      </w:pPr>
      <w:r w:rsidRPr="00A65B48">
        <w:rPr>
          <w:b/>
        </w:rPr>
        <w:t>A</w:t>
      </w:r>
      <w:r w:rsidR="00A65B48" w:rsidRPr="00A65B48">
        <w:rPr>
          <w:b/>
        </w:rPr>
        <w:t xml:space="preserve"> hivatali helyiségen</w:t>
      </w:r>
      <w:r w:rsidR="0076709E">
        <w:rPr>
          <w:b/>
        </w:rPr>
        <w:t xml:space="preserve"> kívüli</w:t>
      </w:r>
      <w:r w:rsidR="00A65B48" w:rsidRPr="00A65B48">
        <w:rPr>
          <w:b/>
        </w:rPr>
        <w:t>, valamint a hivatali munkaidőn kívül</w:t>
      </w:r>
      <w:r w:rsidR="0076709E">
        <w:rPr>
          <w:b/>
        </w:rPr>
        <w:t xml:space="preserve"> történő</w:t>
      </w:r>
      <w:r w:rsidR="00A65B48" w:rsidRPr="00A65B48">
        <w:rPr>
          <w:b/>
        </w:rPr>
        <w:t xml:space="preserve"> házasságkötés és bejegyzett élettársi kapcsolat létesítése engedélyezéséről és az anyakönyvi eljárásban fizetendő díj mértékéről szóló </w:t>
      </w:r>
      <w:r w:rsidR="00A65B48" w:rsidRPr="00A65B48">
        <w:rPr>
          <w:b/>
          <w:sz w:val="22"/>
          <w:szCs w:val="22"/>
        </w:rPr>
        <w:t xml:space="preserve">4/2015.(I. 22.) önkormányzati </w:t>
      </w:r>
      <w:r w:rsidR="00A65B48" w:rsidRPr="00A65B48">
        <w:rPr>
          <w:b/>
        </w:rPr>
        <w:t>rendelet</w:t>
      </w:r>
      <w:r w:rsidR="0031161E" w:rsidRPr="00A65B48">
        <w:rPr>
          <w:b/>
        </w:rPr>
        <w:t xml:space="preserve"> </w:t>
      </w:r>
      <w:r w:rsidR="002D3CFF" w:rsidRPr="00A65B48">
        <w:rPr>
          <w:b/>
        </w:rPr>
        <w:t>módosításának</w:t>
      </w:r>
      <w:r w:rsidRPr="00A65B48">
        <w:rPr>
          <w:b/>
        </w:rPr>
        <w:t xml:space="preserve"> általános indokolása:</w:t>
      </w:r>
    </w:p>
    <w:p w14:paraId="171F62CA" w14:textId="42EA8455" w:rsidR="00A56344" w:rsidRPr="00A65B48" w:rsidRDefault="00A56344" w:rsidP="00A56344">
      <w:pPr>
        <w:jc w:val="center"/>
        <w:rPr>
          <w:b/>
        </w:rPr>
      </w:pPr>
    </w:p>
    <w:p w14:paraId="39E388C5" w14:textId="77777777" w:rsidR="002A797F" w:rsidRDefault="002A797F" w:rsidP="00A56344">
      <w:pPr>
        <w:jc w:val="center"/>
        <w:rPr>
          <w:b/>
        </w:rPr>
      </w:pPr>
    </w:p>
    <w:p w14:paraId="048EC479" w14:textId="77777777" w:rsidR="0076709E" w:rsidRPr="00D31738" w:rsidRDefault="0076709E" w:rsidP="0076709E">
      <w:pPr>
        <w:pStyle w:val="Szvegtrzs"/>
        <w:autoSpaceDE w:val="0"/>
        <w:autoSpaceDN w:val="0"/>
        <w:adjustRightInd w:val="0"/>
        <w:rPr>
          <w:bCs/>
          <w:szCs w:val="22"/>
        </w:rPr>
      </w:pPr>
      <w:r>
        <w:rPr>
          <w:bCs/>
          <w:szCs w:val="22"/>
        </w:rPr>
        <w:t>Az anyakönyvi eljárásról szóló 2010. évi I. törvény 96. §-</w:t>
      </w:r>
      <w:proofErr w:type="spellStart"/>
      <w:r>
        <w:rPr>
          <w:bCs/>
          <w:szCs w:val="22"/>
        </w:rPr>
        <w:t>ának</w:t>
      </w:r>
      <w:proofErr w:type="spellEnd"/>
      <w:r>
        <w:rPr>
          <w:bCs/>
          <w:szCs w:val="22"/>
        </w:rPr>
        <w:t xml:space="preserve"> rendelkezései alapján a </w:t>
      </w:r>
      <w:r>
        <w:t>települési önkormányzat</w:t>
      </w:r>
      <w:r>
        <w:rPr>
          <w:i/>
          <w:iCs/>
        </w:rPr>
        <w:t xml:space="preserve"> </w:t>
      </w:r>
      <w:r>
        <w:t>rendeletben állapítja meg a hivatali helyiségen kívüli, valamint a hivatali munkaidőn kívül történő házasságkötés és bejegyzett élettársi kapcsolat létesítése esetén a többletszolgáltatás ellentételezéseként az önkormányzat részére, valamint az anyakönyvvezető részére fizetendő díj mértékét.</w:t>
      </w:r>
    </w:p>
    <w:p w14:paraId="708A4BE7" w14:textId="77777777" w:rsidR="0076709E" w:rsidRDefault="0076709E" w:rsidP="00BF6B18">
      <w:pPr>
        <w:jc w:val="both"/>
        <w:rPr>
          <w:bCs/>
          <w:szCs w:val="22"/>
        </w:rPr>
      </w:pPr>
    </w:p>
    <w:p w14:paraId="2694890B" w14:textId="1317AF7F" w:rsidR="0076709E" w:rsidRDefault="0076709E" w:rsidP="0076709E">
      <w:pPr>
        <w:pStyle w:val="Szvegtrzs"/>
      </w:pPr>
      <w:r>
        <w:rPr>
          <w:bCs/>
          <w:szCs w:val="22"/>
        </w:rPr>
        <w:t xml:space="preserve">Fenti jogszabályi felhatalmazás alapján </w:t>
      </w:r>
      <w:r w:rsidRPr="00D77737">
        <w:rPr>
          <w:bCs/>
          <w:szCs w:val="22"/>
        </w:rPr>
        <w:t>Kiskőrös Város Önkormányzata Képviselő-testület</w:t>
      </w:r>
      <w:r>
        <w:rPr>
          <w:bCs/>
          <w:szCs w:val="22"/>
        </w:rPr>
        <w:t>e megalkotta</w:t>
      </w:r>
      <w:r w:rsidRPr="00D77737">
        <w:rPr>
          <w:bCs/>
          <w:szCs w:val="22"/>
        </w:rPr>
        <w:t xml:space="preserve"> a</w:t>
      </w:r>
      <w:r w:rsidRPr="00D77737">
        <w:rPr>
          <w:bCs/>
        </w:rPr>
        <w:t xml:space="preserve"> hivatali helyiségen</w:t>
      </w:r>
      <w:r>
        <w:rPr>
          <w:bCs/>
        </w:rPr>
        <w:t xml:space="preserve"> kívüli</w:t>
      </w:r>
      <w:r w:rsidRPr="00D77737">
        <w:rPr>
          <w:bCs/>
        </w:rPr>
        <w:t>, valamint a hivatali munkaidőn kívül</w:t>
      </w:r>
      <w:r>
        <w:rPr>
          <w:bCs/>
        </w:rPr>
        <w:t xml:space="preserve"> történő</w:t>
      </w:r>
      <w:r w:rsidRPr="00D77737">
        <w:rPr>
          <w:bCs/>
        </w:rPr>
        <w:t xml:space="preserve"> házasságkötés és bejegyzett élettársi kapcsolat létesítése engedélyezéséről és az anyakönyvi eljárásban fizetendő díj mértékéről szóló</w:t>
      </w:r>
      <w:r>
        <w:rPr>
          <w:bCs/>
        </w:rPr>
        <w:t xml:space="preserve"> </w:t>
      </w:r>
      <w:r w:rsidRPr="00D77737">
        <w:rPr>
          <w:bCs/>
          <w:sz w:val="22"/>
          <w:szCs w:val="22"/>
        </w:rPr>
        <w:t xml:space="preserve">4/2015.(I. 22.) önkormányzati </w:t>
      </w:r>
      <w:r w:rsidRPr="00D77737">
        <w:rPr>
          <w:bCs/>
        </w:rPr>
        <w:t>rendelet</w:t>
      </w:r>
      <w:r>
        <w:rPr>
          <w:bCs/>
        </w:rPr>
        <w:t>ét</w:t>
      </w:r>
      <w:r w:rsidR="00FF3C1F">
        <w:rPr>
          <w:bCs/>
        </w:rPr>
        <w:t xml:space="preserve"> (a továbbiakban: </w:t>
      </w:r>
      <w:proofErr w:type="spellStart"/>
      <w:r w:rsidR="00FF3C1F">
        <w:rPr>
          <w:bCs/>
        </w:rPr>
        <w:t>Ar</w:t>
      </w:r>
      <w:proofErr w:type="spellEnd"/>
      <w:r w:rsidR="00FF3C1F">
        <w:rPr>
          <w:bCs/>
        </w:rPr>
        <w:t>.)</w:t>
      </w:r>
      <w:r>
        <w:rPr>
          <w:bCs/>
        </w:rPr>
        <w:t>.</w:t>
      </w:r>
      <w:r w:rsidR="00FF3C1F">
        <w:rPr>
          <w:bCs/>
        </w:rPr>
        <w:t xml:space="preserve"> 2015. év óta</w:t>
      </w:r>
      <w:r>
        <w:rPr>
          <w:bCs/>
        </w:rPr>
        <w:t xml:space="preserve"> </w:t>
      </w:r>
      <w:r w:rsidR="00FF3C1F">
        <w:t>az anyakönyvi eljárásban fizetendő díj mértéke és az anyakönyvvezetőt az események után megillető díjazás mértéke nem változott. Az anyakönyvvezető költségei (fodrász, ruha, cipő) viszont emelkedtek ebben az időszakban, ezért szükséges az anyakönyvvezető részére fizetendő díj mértékét emelni.</w:t>
      </w:r>
    </w:p>
    <w:p w14:paraId="4C4E9E2E" w14:textId="7F172C44" w:rsidR="00FF3C1F" w:rsidRDefault="00FF3C1F" w:rsidP="0076709E">
      <w:pPr>
        <w:pStyle w:val="Szvegtrzs"/>
      </w:pPr>
    </w:p>
    <w:p w14:paraId="13F0B9CE" w14:textId="13DBE5D5" w:rsidR="00A56344" w:rsidRDefault="00FF3C1F" w:rsidP="00FF3C1F">
      <w:pPr>
        <w:pStyle w:val="Szvegtrzs"/>
      </w:pPr>
      <w:r>
        <w:t xml:space="preserve">Az </w:t>
      </w:r>
      <w:proofErr w:type="spellStart"/>
      <w:r>
        <w:t>Ar</w:t>
      </w:r>
      <w:proofErr w:type="spellEnd"/>
      <w:r>
        <w:t>. felülvizsgálata során f</w:t>
      </w:r>
      <w:r w:rsidR="00A56344">
        <w:t xml:space="preserve">igyelembe vettük </w:t>
      </w:r>
      <w:r w:rsidR="00A56344" w:rsidRPr="00FD7101">
        <w:t>a jogszabályszerkesztésről szóló</w:t>
      </w:r>
      <w:r w:rsidR="00A56344">
        <w:t xml:space="preserve"> 6/2009. (XII.14.) IRM rendeletben foglalt szabályokat, íg</w:t>
      </w:r>
      <w:r w:rsidR="00FD7101">
        <w:t>y a jogszabály formai tagolását</w:t>
      </w:r>
      <w:r w:rsidR="00A56344">
        <w:t xml:space="preserve"> a hivatkozott rendeletnek megfelelően tartalmazza a rendelet-tervezet.</w:t>
      </w:r>
    </w:p>
    <w:p w14:paraId="1514D2B4" w14:textId="77777777" w:rsidR="00A56344" w:rsidRDefault="00A56344" w:rsidP="00A56344">
      <w:pPr>
        <w:jc w:val="center"/>
      </w:pPr>
    </w:p>
    <w:p w14:paraId="78C9FA10" w14:textId="77777777" w:rsidR="00A56344" w:rsidRDefault="00A56344" w:rsidP="00A56344">
      <w:pPr>
        <w:jc w:val="center"/>
        <w:rPr>
          <w:b/>
        </w:rPr>
      </w:pPr>
    </w:p>
    <w:p w14:paraId="5B2FC3FF" w14:textId="77777777" w:rsidR="00215911" w:rsidRPr="00215911" w:rsidRDefault="00215911" w:rsidP="00215911">
      <w:pPr>
        <w:jc w:val="center"/>
        <w:rPr>
          <w:b/>
        </w:rPr>
      </w:pPr>
      <w:r w:rsidRPr="00215911">
        <w:rPr>
          <w:b/>
        </w:rPr>
        <w:t>A rendelet-tervezet részletes indokolása:</w:t>
      </w:r>
    </w:p>
    <w:p w14:paraId="527EFB8E" w14:textId="77777777" w:rsidR="00215911" w:rsidRPr="00215911" w:rsidRDefault="00215911" w:rsidP="00215911">
      <w:pPr>
        <w:jc w:val="center"/>
        <w:rPr>
          <w:b/>
        </w:rPr>
      </w:pPr>
    </w:p>
    <w:p w14:paraId="6C856255" w14:textId="5F017C48" w:rsidR="00215911" w:rsidRDefault="00215911" w:rsidP="00215911">
      <w:pPr>
        <w:jc w:val="center"/>
        <w:rPr>
          <w:b/>
          <w:bCs/>
        </w:rPr>
      </w:pPr>
      <w:r w:rsidRPr="00215911">
        <w:rPr>
          <w:b/>
          <w:bCs/>
        </w:rPr>
        <w:t>Az 1. §-hoz</w:t>
      </w:r>
    </w:p>
    <w:p w14:paraId="5709ADAC" w14:textId="77777777" w:rsidR="00FC0682" w:rsidRPr="00215911" w:rsidRDefault="00FC0682" w:rsidP="00215911">
      <w:pPr>
        <w:jc w:val="center"/>
        <w:rPr>
          <w:b/>
          <w:bCs/>
        </w:rPr>
      </w:pPr>
    </w:p>
    <w:p w14:paraId="48B3F66C" w14:textId="28561225" w:rsidR="004A5BE4" w:rsidRPr="00215911" w:rsidRDefault="00D40E16" w:rsidP="004A5BE4">
      <w:r w:rsidRPr="00D40E16">
        <w:t xml:space="preserve"> </w:t>
      </w:r>
      <w:r>
        <w:t xml:space="preserve">Az </w:t>
      </w:r>
      <w:proofErr w:type="spellStart"/>
      <w:r>
        <w:t>Ar</w:t>
      </w:r>
      <w:proofErr w:type="spellEnd"/>
      <w:r>
        <w:t>. 2.§-a egyetlen bekezdésből áll, ezért a bekezdést nem kell sorszámmal megjelölni.</w:t>
      </w:r>
    </w:p>
    <w:p w14:paraId="0F27D054" w14:textId="77777777" w:rsidR="00721AAF" w:rsidRDefault="00721AAF" w:rsidP="00215911">
      <w:pPr>
        <w:jc w:val="center"/>
        <w:rPr>
          <w:b/>
          <w:bCs/>
        </w:rPr>
      </w:pPr>
    </w:p>
    <w:p w14:paraId="77164DC4" w14:textId="2D1B6614" w:rsidR="00215911" w:rsidRPr="00215911" w:rsidRDefault="00215911" w:rsidP="00215911">
      <w:pPr>
        <w:jc w:val="center"/>
        <w:rPr>
          <w:b/>
          <w:bCs/>
        </w:rPr>
      </w:pPr>
      <w:r w:rsidRPr="00215911">
        <w:rPr>
          <w:b/>
          <w:bCs/>
        </w:rPr>
        <w:t>A 2. §-hoz</w:t>
      </w:r>
    </w:p>
    <w:p w14:paraId="2DB23CC2" w14:textId="77777777" w:rsidR="00215911" w:rsidRPr="00215911" w:rsidRDefault="00215911" w:rsidP="00215911">
      <w:pPr>
        <w:jc w:val="center"/>
        <w:rPr>
          <w:b/>
          <w:bCs/>
        </w:rPr>
      </w:pPr>
    </w:p>
    <w:p w14:paraId="2AE7C109" w14:textId="056FEFCD" w:rsidR="002C316C" w:rsidRDefault="002C316C" w:rsidP="002C316C">
      <w:pPr>
        <w:pStyle w:val="Szvegtrzs"/>
        <w:rPr>
          <w:sz w:val="22"/>
          <w:szCs w:val="22"/>
        </w:rPr>
      </w:pPr>
      <w:r>
        <w:rPr>
          <w:sz w:val="22"/>
          <w:szCs w:val="22"/>
        </w:rPr>
        <w:t xml:space="preserve">A jogszabályszerkesztésről szóló 61/2009.(XII.11.) IRM. rendelet szerint </w:t>
      </w:r>
      <w:r>
        <w:t xml:space="preserve">a bekezdést pontokra kell tagolni, ha a bekezdésbe foglalt mondat felsorolást tartalmaz, a felsorolás bármely két eleme között azonos logikai kapcsolat áll fenn, és ez a jogszabály áttekinthetőségét elősegíti. </w:t>
      </w:r>
      <w:r>
        <w:rPr>
          <w:sz w:val="22"/>
          <w:szCs w:val="22"/>
        </w:rPr>
        <w:t xml:space="preserve">Ennek a követelménynek megfelelően kerül módosításra az </w:t>
      </w:r>
      <w:proofErr w:type="spellStart"/>
      <w:r>
        <w:rPr>
          <w:sz w:val="22"/>
          <w:szCs w:val="22"/>
        </w:rPr>
        <w:t>Ar</w:t>
      </w:r>
      <w:proofErr w:type="spellEnd"/>
      <w:r>
        <w:rPr>
          <w:sz w:val="22"/>
          <w:szCs w:val="22"/>
        </w:rPr>
        <w:t>. 3.§ (1) bekezdése. Az IRM. rendeletnek megfelelően a latin ábécé kisbetűivel kerültek megjelölésre a korábban francia bekezdéssel jelölt pontok.</w:t>
      </w:r>
    </w:p>
    <w:p w14:paraId="6C3FDC9D" w14:textId="5C69FDFB" w:rsidR="00215911" w:rsidRPr="00215911" w:rsidRDefault="00215911" w:rsidP="00AA0634"/>
    <w:p w14:paraId="68FF6E97" w14:textId="77777777" w:rsidR="00215911" w:rsidRPr="00215911" w:rsidRDefault="00215911" w:rsidP="00215911">
      <w:pPr>
        <w:jc w:val="center"/>
        <w:rPr>
          <w:b/>
          <w:bCs/>
        </w:rPr>
      </w:pPr>
      <w:r w:rsidRPr="00215911">
        <w:rPr>
          <w:b/>
          <w:bCs/>
        </w:rPr>
        <w:t>A 3. §-hoz</w:t>
      </w:r>
    </w:p>
    <w:p w14:paraId="2A4284ED" w14:textId="77777777" w:rsidR="00215911" w:rsidRPr="00215911" w:rsidRDefault="00215911" w:rsidP="00215911">
      <w:pPr>
        <w:jc w:val="center"/>
      </w:pPr>
    </w:p>
    <w:p w14:paraId="0E155A07" w14:textId="77777777" w:rsidR="00AA0634" w:rsidRDefault="00A866BE" w:rsidP="00215911">
      <w:pPr>
        <w:jc w:val="both"/>
      </w:pPr>
      <w:r>
        <w:t xml:space="preserve">Meghatározásra került ebben a szakaszban </w:t>
      </w:r>
      <w:r w:rsidR="00AA0634">
        <w:t>az anyakönyvvezetőt megillető díjazás mértéke.</w:t>
      </w:r>
    </w:p>
    <w:p w14:paraId="729F5187" w14:textId="77777777" w:rsidR="00AA0634" w:rsidRDefault="00AA0634" w:rsidP="00215911">
      <w:pPr>
        <w:jc w:val="center"/>
        <w:rPr>
          <w:b/>
          <w:bCs/>
        </w:rPr>
      </w:pPr>
    </w:p>
    <w:p w14:paraId="46B715D3" w14:textId="7EBAE778" w:rsidR="00215911" w:rsidRDefault="00215911" w:rsidP="00215911">
      <w:pPr>
        <w:jc w:val="center"/>
        <w:rPr>
          <w:b/>
          <w:bCs/>
        </w:rPr>
      </w:pPr>
      <w:r w:rsidRPr="00215911">
        <w:rPr>
          <w:b/>
          <w:bCs/>
        </w:rPr>
        <w:t>A 4. §-hoz</w:t>
      </w:r>
    </w:p>
    <w:p w14:paraId="634ED5B6" w14:textId="62698F57" w:rsidR="00FC0682" w:rsidRDefault="00FC0682" w:rsidP="00215911">
      <w:pPr>
        <w:jc w:val="center"/>
        <w:rPr>
          <w:b/>
          <w:bCs/>
        </w:rPr>
      </w:pPr>
    </w:p>
    <w:p w14:paraId="06ACEFD9" w14:textId="58736BF5" w:rsidR="00FC0682" w:rsidRPr="00FC0682" w:rsidRDefault="00FC0682" w:rsidP="00FC0682">
      <w:pPr>
        <w:jc w:val="both"/>
      </w:pPr>
      <w:r w:rsidRPr="00FC0682">
        <w:t>Pontosító rendelkezést tartalmaz ez a szakasz. Az „élettársai” szövegrész helyébe „élettársi” szöveg lép.</w:t>
      </w:r>
    </w:p>
    <w:p w14:paraId="2FFA76E3" w14:textId="77777777" w:rsidR="007E7348" w:rsidRDefault="007E7348" w:rsidP="00FC0682">
      <w:pPr>
        <w:jc w:val="center"/>
        <w:rPr>
          <w:b/>
          <w:bCs/>
        </w:rPr>
      </w:pPr>
    </w:p>
    <w:p w14:paraId="5DFD6FC7" w14:textId="5C908991" w:rsidR="00FC0682" w:rsidRPr="00215911" w:rsidRDefault="00FC0682" w:rsidP="00FC0682">
      <w:pPr>
        <w:jc w:val="center"/>
        <w:rPr>
          <w:b/>
          <w:bCs/>
        </w:rPr>
      </w:pPr>
      <w:r w:rsidRPr="00215911">
        <w:rPr>
          <w:b/>
          <w:bCs/>
        </w:rPr>
        <w:lastRenderedPageBreak/>
        <w:t>A</w:t>
      </w:r>
      <w:r>
        <w:rPr>
          <w:b/>
          <w:bCs/>
        </w:rPr>
        <w:t>z</w:t>
      </w:r>
      <w:r w:rsidRPr="00215911">
        <w:rPr>
          <w:b/>
          <w:bCs/>
        </w:rPr>
        <w:t xml:space="preserve"> </w:t>
      </w:r>
      <w:r>
        <w:rPr>
          <w:b/>
          <w:bCs/>
        </w:rPr>
        <w:t>5</w:t>
      </w:r>
      <w:r w:rsidRPr="00215911">
        <w:rPr>
          <w:b/>
          <w:bCs/>
        </w:rPr>
        <w:t>. §-hoz</w:t>
      </w:r>
    </w:p>
    <w:p w14:paraId="5EB61C94" w14:textId="77777777" w:rsidR="00FC0682" w:rsidRPr="00215911" w:rsidRDefault="00FC0682" w:rsidP="00FC0682">
      <w:pPr>
        <w:rPr>
          <w:b/>
          <w:bCs/>
        </w:rPr>
      </w:pPr>
    </w:p>
    <w:p w14:paraId="2243FD12" w14:textId="77777777" w:rsidR="00215911" w:rsidRPr="00215911" w:rsidRDefault="00215911" w:rsidP="00FC0682">
      <w:pPr>
        <w:jc w:val="center"/>
        <w:rPr>
          <w:b/>
          <w:bCs/>
        </w:rPr>
      </w:pPr>
    </w:p>
    <w:p w14:paraId="25506592" w14:textId="77777777" w:rsidR="00215911" w:rsidRPr="00215911" w:rsidRDefault="00215911" w:rsidP="00215911">
      <w:pPr>
        <w:jc w:val="both"/>
      </w:pPr>
      <w:r w:rsidRPr="00215911">
        <w:t>A hatályba léptető rendelkezést tartalmaz ez a szakasz.</w:t>
      </w:r>
    </w:p>
    <w:p w14:paraId="18555733" w14:textId="77777777" w:rsidR="00215911" w:rsidRPr="00215911" w:rsidRDefault="00215911" w:rsidP="00215911">
      <w:pPr>
        <w:jc w:val="center"/>
      </w:pPr>
    </w:p>
    <w:p w14:paraId="31442028" w14:textId="77777777" w:rsidR="00215911" w:rsidRDefault="00215911" w:rsidP="00A56344">
      <w:pPr>
        <w:jc w:val="center"/>
      </w:pPr>
    </w:p>
    <w:p w14:paraId="137A7038" w14:textId="77777777" w:rsidR="00215911" w:rsidRDefault="00215911" w:rsidP="00A56344">
      <w:pPr>
        <w:jc w:val="center"/>
      </w:pPr>
    </w:p>
    <w:sectPr w:rsidR="00215911" w:rsidSect="00964E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9FA03" w14:textId="77777777" w:rsidR="002B6D5A" w:rsidRDefault="002B6D5A" w:rsidP="00BF6B18">
      <w:r>
        <w:separator/>
      </w:r>
    </w:p>
  </w:endnote>
  <w:endnote w:type="continuationSeparator" w:id="0">
    <w:p w14:paraId="01BF128C" w14:textId="77777777" w:rsidR="002B6D5A" w:rsidRDefault="002B6D5A" w:rsidP="00BF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FCAD5" w14:textId="77777777" w:rsidR="002B6D5A" w:rsidRDefault="002B6D5A" w:rsidP="00BF6B18">
      <w:r>
        <w:separator/>
      </w:r>
    </w:p>
  </w:footnote>
  <w:footnote w:type="continuationSeparator" w:id="0">
    <w:p w14:paraId="0F5DE4A4" w14:textId="77777777" w:rsidR="002B6D5A" w:rsidRDefault="002B6D5A" w:rsidP="00BF6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415A"/>
    <w:multiLevelType w:val="hybridMultilevel"/>
    <w:tmpl w:val="A4FCF27C"/>
    <w:lvl w:ilvl="0" w:tplc="2E6675B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CE515D7"/>
    <w:multiLevelType w:val="hybridMultilevel"/>
    <w:tmpl w:val="D9960332"/>
    <w:lvl w:ilvl="0" w:tplc="67BACC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344"/>
    <w:rsid w:val="00032344"/>
    <w:rsid w:val="0006467A"/>
    <w:rsid w:val="00065508"/>
    <w:rsid w:val="000C4B60"/>
    <w:rsid w:val="000F0B6F"/>
    <w:rsid w:val="001255E5"/>
    <w:rsid w:val="001A51EA"/>
    <w:rsid w:val="001B1FF0"/>
    <w:rsid w:val="001B5E13"/>
    <w:rsid w:val="001C7E2A"/>
    <w:rsid w:val="00206166"/>
    <w:rsid w:val="00215911"/>
    <w:rsid w:val="00263B4C"/>
    <w:rsid w:val="00281AB9"/>
    <w:rsid w:val="0029475E"/>
    <w:rsid w:val="002A797F"/>
    <w:rsid w:val="002B6D5A"/>
    <w:rsid w:val="002C316C"/>
    <w:rsid w:val="002D3CFF"/>
    <w:rsid w:val="002F30A7"/>
    <w:rsid w:val="0031161E"/>
    <w:rsid w:val="00321446"/>
    <w:rsid w:val="0033257C"/>
    <w:rsid w:val="00385DC9"/>
    <w:rsid w:val="003B3C78"/>
    <w:rsid w:val="003D0349"/>
    <w:rsid w:val="0041609F"/>
    <w:rsid w:val="00455557"/>
    <w:rsid w:val="0046055D"/>
    <w:rsid w:val="0047111B"/>
    <w:rsid w:val="004811E1"/>
    <w:rsid w:val="00490DB7"/>
    <w:rsid w:val="004A5BE4"/>
    <w:rsid w:val="004E5D32"/>
    <w:rsid w:val="005A7E42"/>
    <w:rsid w:val="005E642C"/>
    <w:rsid w:val="005F1F36"/>
    <w:rsid w:val="006739F5"/>
    <w:rsid w:val="006E44B5"/>
    <w:rsid w:val="00721AAF"/>
    <w:rsid w:val="00763F69"/>
    <w:rsid w:val="0076709E"/>
    <w:rsid w:val="007A674C"/>
    <w:rsid w:val="007B010C"/>
    <w:rsid w:val="007D159D"/>
    <w:rsid w:val="007E7348"/>
    <w:rsid w:val="00816A99"/>
    <w:rsid w:val="008362AD"/>
    <w:rsid w:val="0089177C"/>
    <w:rsid w:val="008B2A30"/>
    <w:rsid w:val="008E52D5"/>
    <w:rsid w:val="008E7CE2"/>
    <w:rsid w:val="00964EB4"/>
    <w:rsid w:val="009A1700"/>
    <w:rsid w:val="009F5EC0"/>
    <w:rsid w:val="00A56344"/>
    <w:rsid w:val="00A5753A"/>
    <w:rsid w:val="00A65B48"/>
    <w:rsid w:val="00A866BE"/>
    <w:rsid w:val="00AA0634"/>
    <w:rsid w:val="00AE4F0B"/>
    <w:rsid w:val="00AF091C"/>
    <w:rsid w:val="00B62470"/>
    <w:rsid w:val="00B67E6E"/>
    <w:rsid w:val="00B763BD"/>
    <w:rsid w:val="00B97CB3"/>
    <w:rsid w:val="00BB1236"/>
    <w:rsid w:val="00BF6B18"/>
    <w:rsid w:val="00C314D6"/>
    <w:rsid w:val="00C95355"/>
    <w:rsid w:val="00C97983"/>
    <w:rsid w:val="00CA4F08"/>
    <w:rsid w:val="00D0317B"/>
    <w:rsid w:val="00D40E16"/>
    <w:rsid w:val="00D97E20"/>
    <w:rsid w:val="00DC4DEE"/>
    <w:rsid w:val="00E42CA8"/>
    <w:rsid w:val="00E7477B"/>
    <w:rsid w:val="00EF03FC"/>
    <w:rsid w:val="00F371E0"/>
    <w:rsid w:val="00F553DB"/>
    <w:rsid w:val="00F56F72"/>
    <w:rsid w:val="00F646C7"/>
    <w:rsid w:val="00FB0E11"/>
    <w:rsid w:val="00FB37E2"/>
    <w:rsid w:val="00FC0682"/>
    <w:rsid w:val="00FD7101"/>
    <w:rsid w:val="00FF3C1F"/>
    <w:rsid w:val="00FF3DC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1728C"/>
  <w15:docId w15:val="{136182AC-E779-40BD-B1B3-9C88866D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56344"/>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76709E"/>
    <w:pPr>
      <w:jc w:val="both"/>
    </w:pPr>
  </w:style>
  <w:style w:type="character" w:customStyle="1" w:styleId="SzvegtrzsChar">
    <w:name w:val="Szövegtörzs Char"/>
    <w:basedOn w:val="Bekezdsalapbettpusa"/>
    <w:link w:val="Szvegtrzs"/>
    <w:rsid w:val="0076709E"/>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60244">
      <w:bodyDiv w:val="1"/>
      <w:marLeft w:val="0"/>
      <w:marRight w:val="0"/>
      <w:marTop w:val="0"/>
      <w:marBottom w:val="0"/>
      <w:divBdr>
        <w:top w:val="none" w:sz="0" w:space="0" w:color="auto"/>
        <w:left w:val="none" w:sz="0" w:space="0" w:color="auto"/>
        <w:bottom w:val="none" w:sz="0" w:space="0" w:color="auto"/>
        <w:right w:val="none" w:sz="0" w:space="0" w:color="auto"/>
      </w:divBdr>
    </w:div>
    <w:div w:id="39566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2232</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Aszódiné Nedró Éva</dc:creator>
  <cp:lastModifiedBy>Lucza Alexandra</cp:lastModifiedBy>
  <cp:revision>2</cp:revision>
  <dcterms:created xsi:type="dcterms:W3CDTF">2022-02-15T10:37:00Z</dcterms:created>
  <dcterms:modified xsi:type="dcterms:W3CDTF">2022-02-15T10:37:00Z</dcterms:modified>
</cp:coreProperties>
</file>