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170F" w14:textId="1CA093C2" w:rsidR="00860EE1" w:rsidRPr="00124E79" w:rsidRDefault="00124E79" w:rsidP="00124E79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124E79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63A5F6BD" w14:textId="77777777" w:rsidR="00124E79" w:rsidRPr="00124E79" w:rsidRDefault="00124E79" w:rsidP="001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64359A69" w14:textId="77777777" w:rsidR="00124E79" w:rsidRPr="00124E79" w:rsidRDefault="00124E79" w:rsidP="00124E79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hu-HU"/>
        </w:rPr>
      </w:pPr>
    </w:p>
    <w:p w14:paraId="01A35FC3" w14:textId="77777777" w:rsidR="009070AA" w:rsidRPr="00124E79" w:rsidRDefault="009070AA" w:rsidP="00124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u w:val="single"/>
          <w:lang w:eastAsia="zh-CN"/>
        </w:rPr>
        <w:t>ELŐTERJESZTÉS</w:t>
      </w:r>
    </w:p>
    <w:p w14:paraId="739D6FFD" w14:textId="6F145F27" w:rsidR="009070AA" w:rsidRPr="00124E79" w:rsidRDefault="009070AA" w:rsidP="00124E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(A Képviselő-testület 202</w:t>
      </w:r>
      <w:r w:rsidR="001C263B" w:rsidRPr="00124E79">
        <w:rPr>
          <w:rFonts w:ascii="Times New Roman" w:eastAsia="Times New Roman" w:hAnsi="Times New Roman" w:cs="Times New Roman"/>
          <w:lang w:eastAsia="zh-CN"/>
        </w:rPr>
        <w:t>3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. </w:t>
      </w:r>
      <w:r w:rsidR="00AE0B9B" w:rsidRPr="00124E79">
        <w:rPr>
          <w:rFonts w:ascii="Times New Roman" w:eastAsia="Times New Roman" w:hAnsi="Times New Roman" w:cs="Times New Roman"/>
          <w:lang w:eastAsia="zh-CN"/>
        </w:rPr>
        <w:t>május 2</w:t>
      </w:r>
      <w:r w:rsidR="00D6292A" w:rsidRPr="00124E79">
        <w:rPr>
          <w:rFonts w:ascii="Times New Roman" w:eastAsia="Times New Roman" w:hAnsi="Times New Roman" w:cs="Times New Roman"/>
          <w:lang w:eastAsia="zh-CN"/>
        </w:rPr>
        <w:t>4</w:t>
      </w:r>
      <w:r w:rsidRPr="00124E79">
        <w:rPr>
          <w:rFonts w:ascii="Times New Roman" w:eastAsia="Times New Roman" w:hAnsi="Times New Roman" w:cs="Times New Roman"/>
          <w:lang w:eastAsia="zh-CN"/>
        </w:rPr>
        <w:t>-i ülésére)</w:t>
      </w:r>
    </w:p>
    <w:p w14:paraId="79DE26EF" w14:textId="77777777" w:rsidR="00BC6A20" w:rsidRDefault="00BC6A20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1ACE4734" w14:textId="77777777" w:rsidR="00124E79" w:rsidRPr="00124E79" w:rsidRDefault="00124E79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5A88851A" w14:textId="1BB17753" w:rsidR="00325868" w:rsidRPr="00124E79" w:rsidRDefault="00325868" w:rsidP="00124E79">
      <w:pPr>
        <w:suppressAutoHyphens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caps/>
          <w:smallCaps/>
          <w:u w:val="single"/>
          <w:lang w:eastAsia="zh-CN"/>
        </w:rPr>
        <w:t>Tárgy:</w:t>
      </w:r>
      <w:r w:rsidR="0058429C" w:rsidRPr="00124E79">
        <w:rPr>
          <w:rFonts w:ascii="Times New Roman" w:eastAsia="Times New Roman" w:hAnsi="Times New Roman" w:cs="Times New Roman"/>
          <w:b/>
          <w:lang w:eastAsia="zh-CN"/>
        </w:rPr>
        <w:tab/>
        <w:t xml:space="preserve">BESZÁMOLÓ </w:t>
      </w:r>
      <w:r w:rsidR="00B37A75" w:rsidRPr="00124E79">
        <w:rPr>
          <w:rFonts w:ascii="Times New Roman" w:eastAsia="Times New Roman" w:hAnsi="Times New Roman" w:cs="Times New Roman"/>
          <w:b/>
          <w:lang w:eastAsia="zh-CN"/>
        </w:rPr>
        <w:t>KISKŐRÖS VÁROS 202</w:t>
      </w:r>
      <w:r w:rsidR="001C263B" w:rsidRPr="00124E79">
        <w:rPr>
          <w:rFonts w:ascii="Times New Roman" w:eastAsia="Times New Roman" w:hAnsi="Times New Roman" w:cs="Times New Roman"/>
          <w:b/>
          <w:lang w:eastAsia="zh-CN"/>
        </w:rPr>
        <w:t>2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. ÉVI KÖLTSÉGVETÉSÉNEK TELJESÍTÉSÉRŐL</w:t>
      </w:r>
    </w:p>
    <w:p w14:paraId="42670E09" w14:textId="77777777" w:rsidR="00325868" w:rsidRDefault="00325868" w:rsidP="00124E7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lang w:eastAsia="zh-CN"/>
        </w:rPr>
      </w:pPr>
    </w:p>
    <w:p w14:paraId="4FFF9A83" w14:textId="77777777" w:rsidR="00124E79" w:rsidRPr="00124E79" w:rsidRDefault="00124E79" w:rsidP="00124E7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lang w:eastAsia="zh-CN"/>
        </w:rPr>
      </w:pPr>
    </w:p>
    <w:p w14:paraId="06925613" w14:textId="77777777" w:rsidR="00325868" w:rsidRPr="00124E79" w:rsidRDefault="00325868" w:rsidP="00124E7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 xml:space="preserve">1. </w:t>
      </w:r>
      <w:r w:rsidR="00382410" w:rsidRPr="00124E79">
        <w:rPr>
          <w:rFonts w:ascii="Times New Roman" w:eastAsia="Times New Roman" w:hAnsi="Times New Roman" w:cs="Times New Roman"/>
          <w:b/>
          <w:lang w:eastAsia="zh-CN"/>
        </w:rPr>
        <w:t>Jogszabályi háttér</w:t>
      </w:r>
    </w:p>
    <w:p w14:paraId="36FCD279" w14:textId="77777777" w:rsidR="00325868" w:rsidRPr="00124E79" w:rsidRDefault="00325868" w:rsidP="00124E79">
      <w:pPr>
        <w:suppressAutoHyphens/>
        <w:overflowPunct w:val="0"/>
        <w:autoSpaceDE w:val="0"/>
        <w:spacing w:after="0" w:line="240" w:lineRule="auto"/>
        <w:ind w:left="1068" w:hanging="359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14:paraId="1C232EF2" w14:textId="4F3A2929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Kiskőrös Város Képviselő-testülete (továbbia</w:t>
      </w:r>
      <w:r w:rsidR="00125E6A" w:rsidRPr="00124E79">
        <w:rPr>
          <w:rFonts w:ascii="Times New Roman" w:eastAsia="Times New Roman" w:hAnsi="Times New Roman" w:cs="Times New Roman"/>
          <w:lang w:eastAsia="zh-CN"/>
        </w:rPr>
        <w:t>kban: Képviselő-testület) a 202</w:t>
      </w:r>
      <w:r w:rsidR="001C263B" w:rsidRPr="00124E79">
        <w:rPr>
          <w:rFonts w:ascii="Times New Roman" w:eastAsia="Times New Roman" w:hAnsi="Times New Roman" w:cs="Times New Roman"/>
          <w:lang w:eastAsia="zh-CN"/>
        </w:rPr>
        <w:t>2</w:t>
      </w:r>
      <w:r w:rsidR="00125E6A" w:rsidRPr="00124E79">
        <w:rPr>
          <w:rFonts w:ascii="Times New Roman" w:eastAsia="Times New Roman" w:hAnsi="Times New Roman" w:cs="Times New Roman"/>
          <w:lang w:eastAsia="zh-CN"/>
        </w:rPr>
        <w:t xml:space="preserve">. évi költségvetését </w:t>
      </w:r>
      <w:r w:rsidR="001F7193" w:rsidRPr="00124E79">
        <w:rPr>
          <w:rFonts w:ascii="Times New Roman" w:eastAsia="Times New Roman" w:hAnsi="Times New Roman" w:cs="Times New Roman"/>
          <w:lang w:eastAsia="zh-CN"/>
        </w:rPr>
        <w:t>a 3/2022. (II.24</w:t>
      </w:r>
      <w:r w:rsidR="0058429C" w:rsidRPr="00124E79">
        <w:rPr>
          <w:rFonts w:ascii="Times New Roman" w:eastAsia="Times New Roman" w:hAnsi="Times New Roman" w:cs="Times New Roman"/>
          <w:lang w:eastAsia="zh-CN"/>
        </w:rPr>
        <w:t>.</w:t>
      </w:r>
      <w:r w:rsidRPr="00124E79">
        <w:rPr>
          <w:rFonts w:ascii="Times New Roman" w:eastAsia="Times New Roman" w:hAnsi="Times New Roman" w:cs="Times New Roman"/>
          <w:lang w:eastAsia="zh-CN"/>
        </w:rPr>
        <w:t>) önk. rendeletében alk</w:t>
      </w:r>
      <w:r w:rsidR="00125E6A" w:rsidRPr="00124E79">
        <w:rPr>
          <w:rFonts w:ascii="Times New Roman" w:eastAsia="Times New Roman" w:hAnsi="Times New Roman" w:cs="Times New Roman"/>
          <w:lang w:eastAsia="zh-CN"/>
        </w:rPr>
        <w:t>otta meg, amely az év</w:t>
      </w:r>
      <w:r w:rsidR="001F7193" w:rsidRPr="00124E79">
        <w:rPr>
          <w:rFonts w:ascii="Times New Roman" w:eastAsia="Times New Roman" w:hAnsi="Times New Roman" w:cs="Times New Roman"/>
          <w:lang w:eastAsia="zh-CN"/>
        </w:rPr>
        <w:t xml:space="preserve"> közbeni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rendeletmódosítással biztosította és rögzítette az önkormányzat és intézményei gazdálkodásának éves kereteit. A rendelet Kiskőrös Város Önkormányzata (továbbiakban: 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Önkormányzat</w:t>
      </w:r>
      <w:r w:rsidRPr="00124E79">
        <w:rPr>
          <w:rFonts w:ascii="Times New Roman" w:eastAsia="Times New Roman" w:hAnsi="Times New Roman" w:cs="Times New Roman"/>
          <w:lang w:eastAsia="zh-CN"/>
        </w:rPr>
        <w:t>) előirányzatain kívül a Kiskőrösi Polgármesteri Hivatal</w:t>
      </w:r>
      <w:r w:rsidR="002D4EE3" w:rsidRPr="00124E79">
        <w:rPr>
          <w:rFonts w:ascii="Times New Roman" w:eastAsia="Times New Roman" w:hAnsi="Times New Roman" w:cs="Times New Roman"/>
          <w:lang w:eastAsia="zh-CN"/>
        </w:rPr>
        <w:t xml:space="preserve"> (továbbiakba</w:t>
      </w:r>
      <w:r w:rsidR="00A43470" w:rsidRPr="00124E79">
        <w:rPr>
          <w:rFonts w:ascii="Times New Roman" w:eastAsia="Times New Roman" w:hAnsi="Times New Roman" w:cs="Times New Roman"/>
          <w:lang w:eastAsia="zh-CN"/>
        </w:rPr>
        <w:t xml:space="preserve">n: </w:t>
      </w:r>
      <w:r w:rsidR="00A43470" w:rsidRPr="00124E79">
        <w:rPr>
          <w:rFonts w:ascii="Times New Roman" w:eastAsia="Times New Roman" w:hAnsi="Times New Roman" w:cs="Times New Roman"/>
          <w:i/>
          <w:lang w:eastAsia="zh-CN"/>
        </w:rPr>
        <w:t>Hivatal</w:t>
      </w:r>
      <w:r w:rsidR="00A43470" w:rsidRPr="00124E79">
        <w:rPr>
          <w:rFonts w:ascii="Times New Roman" w:eastAsia="Times New Roman" w:hAnsi="Times New Roman" w:cs="Times New Roman"/>
          <w:lang w:eastAsia="zh-CN"/>
        </w:rPr>
        <w:t>)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, az Egészségügyi, Gyermekjóléti és Szociális Intézmény, a Kiskőrösi Óvodák, a Petőfi Sándor Városi Könyvtár, valamint a Petőfi Szülőház és Emlékmúzeum </w:t>
      </w:r>
      <w:r w:rsidR="008319EF" w:rsidRPr="00124E79">
        <w:rPr>
          <w:rFonts w:ascii="Times New Roman" w:eastAsia="Times New Roman" w:hAnsi="Times New Roman" w:cs="Times New Roman"/>
          <w:lang w:eastAsia="zh-CN"/>
        </w:rPr>
        <w:t xml:space="preserve">(továbbiakban: </w:t>
      </w:r>
      <w:r w:rsidR="00F9365E" w:rsidRPr="00124E79">
        <w:rPr>
          <w:rFonts w:ascii="Times New Roman" w:eastAsia="Times New Roman" w:hAnsi="Times New Roman" w:cs="Times New Roman"/>
          <w:i/>
          <w:lang w:eastAsia="zh-CN"/>
        </w:rPr>
        <w:t>I</w:t>
      </w:r>
      <w:r w:rsidR="008319EF" w:rsidRPr="00124E79">
        <w:rPr>
          <w:rFonts w:ascii="Times New Roman" w:eastAsia="Times New Roman" w:hAnsi="Times New Roman" w:cs="Times New Roman"/>
          <w:i/>
          <w:lang w:eastAsia="zh-CN"/>
        </w:rPr>
        <w:t>ntézmények</w:t>
      </w:r>
      <w:r w:rsidR="008319EF" w:rsidRPr="00124E79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124E79">
        <w:rPr>
          <w:rFonts w:ascii="Times New Roman" w:eastAsia="Times New Roman" w:hAnsi="Times New Roman" w:cs="Times New Roman"/>
          <w:lang w:eastAsia="zh-CN"/>
        </w:rPr>
        <w:t>előirányzatait tartalmazza.</w:t>
      </w:r>
    </w:p>
    <w:p w14:paraId="0CCCBC3B" w14:textId="77777777" w:rsidR="00A35DE9" w:rsidRPr="00124E79" w:rsidRDefault="00A35DE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55DCD65" w14:textId="2E17A2F5" w:rsidR="00CB1AA7" w:rsidRPr="00124E79" w:rsidRDefault="00A03EE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124E79">
        <w:rPr>
          <w:rFonts w:ascii="Times New Roman" w:eastAsia="Times New Roman" w:hAnsi="Times New Roman" w:cs="Times New Roman"/>
          <w:i/>
          <w:lang w:eastAsia="hu-HU"/>
        </w:rPr>
        <w:t>Az államháztartásról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 szóló 2011. évi CXCV. törvény (továbbiakban: Áht.) 87.§-a alapján </w:t>
      </w:r>
      <w:r w:rsidR="00CB1AA7" w:rsidRPr="00124E79">
        <w:rPr>
          <w:rFonts w:ascii="Times New Roman" w:eastAsia="Times New Roman" w:hAnsi="Times New Roman" w:cs="Times New Roman"/>
          <w:i/>
          <w:lang w:eastAsia="hu-HU"/>
        </w:rPr>
        <w:t>a vagyonról és a költségvetés végrehajtásáról a számviteli jogszabályok szerinti éves költségvetési beszámolót, az éves költségvetési beszámoló</w:t>
      </w:r>
      <w:r w:rsidR="003C4D8D" w:rsidRPr="00124E79">
        <w:rPr>
          <w:rFonts w:ascii="Times New Roman" w:eastAsia="Times New Roman" w:hAnsi="Times New Roman" w:cs="Times New Roman"/>
          <w:i/>
          <w:lang w:eastAsia="hu-HU"/>
        </w:rPr>
        <w:t>k</w:t>
      </w:r>
      <w:r w:rsidR="00CB1AA7" w:rsidRPr="00124E79">
        <w:rPr>
          <w:rFonts w:ascii="Times New Roman" w:eastAsia="Times New Roman" w:hAnsi="Times New Roman" w:cs="Times New Roman"/>
          <w:i/>
          <w:lang w:eastAsia="hu-HU"/>
        </w:rPr>
        <w:t xml:space="preserve"> alapján évente, az elfogadott költségvetéssel összehasonlító módon, az év utolsó napján érvényes szervezeti, besorolási rendnek megfelelő záró számadást </w:t>
      </w:r>
      <w:r w:rsidR="00B72EAE" w:rsidRPr="00124E79">
        <w:rPr>
          <w:rFonts w:ascii="Times New Roman" w:eastAsia="Times New Roman" w:hAnsi="Times New Roman" w:cs="Times New Roman"/>
          <w:i/>
          <w:lang w:eastAsia="hu-HU"/>
        </w:rPr>
        <w:t xml:space="preserve">(zárszámadást) </w:t>
      </w:r>
      <w:r w:rsidR="00CB1AA7" w:rsidRPr="00124E79">
        <w:rPr>
          <w:rFonts w:ascii="Times New Roman" w:eastAsia="Times New Roman" w:hAnsi="Times New Roman" w:cs="Times New Roman"/>
          <w:i/>
          <w:lang w:eastAsia="hu-HU"/>
        </w:rPr>
        <w:t xml:space="preserve">kell készíteni. </w:t>
      </w:r>
    </w:p>
    <w:p w14:paraId="1A9D6ABE" w14:textId="77777777" w:rsidR="00A03EE3" w:rsidRPr="00124E79" w:rsidRDefault="00A03EE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Az Áht. </w:t>
      </w:r>
      <w:r w:rsidR="00245302" w:rsidRPr="00124E79">
        <w:rPr>
          <w:rFonts w:ascii="Times New Roman" w:eastAsia="Times New Roman" w:hAnsi="Times New Roman" w:cs="Times New Roman"/>
          <w:lang w:eastAsia="hu-HU"/>
        </w:rPr>
        <w:t xml:space="preserve">91. § (1) bekezdése alapján </w:t>
      </w:r>
      <w:r w:rsidR="00245302" w:rsidRPr="00124E79">
        <w:rPr>
          <w:rFonts w:ascii="Times New Roman" w:eastAsia="Times New Roman" w:hAnsi="Times New Roman" w:cs="Times New Roman"/>
          <w:i/>
          <w:lang w:eastAsia="hu-HU"/>
        </w:rPr>
        <w:t>a zárszámadási ren</w:t>
      </w:r>
      <w:r w:rsidR="00382410" w:rsidRPr="00124E79">
        <w:rPr>
          <w:rFonts w:ascii="Times New Roman" w:eastAsia="Times New Roman" w:hAnsi="Times New Roman" w:cs="Times New Roman"/>
          <w:i/>
          <w:lang w:eastAsia="hu-HU"/>
        </w:rPr>
        <w:t>deletet tervezeté</w:t>
      </w:r>
      <w:r w:rsidR="00245302" w:rsidRPr="00124E79">
        <w:rPr>
          <w:rFonts w:ascii="Times New Roman" w:eastAsia="Times New Roman" w:hAnsi="Times New Roman" w:cs="Times New Roman"/>
          <w:i/>
          <w:lang w:eastAsia="hu-HU"/>
        </w:rPr>
        <w:t>t a</w:t>
      </w:r>
      <w:r w:rsidR="00AA4924" w:rsidRPr="00124E79">
        <w:rPr>
          <w:rFonts w:ascii="Times New Roman" w:eastAsia="Times New Roman" w:hAnsi="Times New Roman" w:cs="Times New Roman"/>
          <w:i/>
          <w:lang w:eastAsia="hu-HU"/>
        </w:rPr>
        <w:t xml:space="preserve"> jegyző készíti elő és a</w:t>
      </w:r>
      <w:r w:rsidR="00245302" w:rsidRPr="00124E79">
        <w:rPr>
          <w:rFonts w:ascii="Times New Roman" w:eastAsia="Times New Roman" w:hAnsi="Times New Roman" w:cs="Times New Roman"/>
          <w:i/>
          <w:lang w:eastAsia="hu-HU"/>
        </w:rPr>
        <w:t xml:space="preserve"> polgármester terjeszti a képviselő-testület elé úgy, hogy az a képviselő-testület elé terjesztést követő 30 napon belül, de legkésőbb a költségvetési évet követő 5. hónap</w:t>
      </w:r>
      <w:r w:rsidRPr="00124E79">
        <w:rPr>
          <w:rFonts w:ascii="Times New Roman" w:eastAsia="Times New Roman" w:hAnsi="Times New Roman" w:cs="Times New Roman"/>
          <w:i/>
          <w:lang w:eastAsia="hu-HU"/>
        </w:rPr>
        <w:t xml:space="preserve"> utolsó napjáig hatályba lépjen</w:t>
      </w:r>
      <w:r w:rsidRPr="00124E79">
        <w:rPr>
          <w:rFonts w:ascii="Times New Roman" w:eastAsia="Times New Roman" w:hAnsi="Times New Roman" w:cs="Times New Roman"/>
          <w:lang w:eastAsia="hu-HU"/>
        </w:rPr>
        <w:t>.</w:t>
      </w:r>
      <w:r w:rsidR="00245302" w:rsidRPr="00124E79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414C6B4" w14:textId="77777777" w:rsidR="00245302" w:rsidRPr="00124E79" w:rsidRDefault="00245302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4C17AC66" w14:textId="77777777" w:rsidR="00382410" w:rsidRPr="00124E79" w:rsidRDefault="0038241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smallCaps/>
          <w:lang w:eastAsia="zh-CN"/>
        </w:rPr>
        <w:t>2.</w:t>
      </w:r>
      <w:r w:rsidRPr="00124E79">
        <w:rPr>
          <w:rFonts w:ascii="Times New Roman" w:eastAsia="Times New Roman" w:hAnsi="Times New Roman" w:cs="Times New Roman"/>
          <w:smallCaps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Az önkormányzati feladatellátás általános értékelése</w:t>
      </w:r>
    </w:p>
    <w:p w14:paraId="433DAA0F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 w:bidi="en-US"/>
        </w:rPr>
      </w:pPr>
    </w:p>
    <w:p w14:paraId="10D15860" w14:textId="77777777" w:rsidR="003C4D8D" w:rsidRPr="00124E79" w:rsidRDefault="003C4D8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124E79">
        <w:rPr>
          <w:rFonts w:ascii="Times New Roman" w:eastAsia="Times New Roman" w:hAnsi="Times New Roman" w:cs="Times New Roman"/>
          <w:lang w:eastAsia="zh-CN" w:bidi="en-US"/>
        </w:rPr>
        <w:t>A Képviselő-testület a 85/2019. határozatával döntött bölcsőde bővítéséről, a férőhelyek bővítése miatt nőtt a szakmai dolgozók létszáma 5 fővel.</w:t>
      </w:r>
    </w:p>
    <w:p w14:paraId="4A3817F1" w14:textId="77777777" w:rsidR="003C4D8D" w:rsidRPr="00124E79" w:rsidRDefault="003C4D8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14:paraId="64FB53D0" w14:textId="77777777" w:rsidR="003C4D8D" w:rsidRPr="00124E79" w:rsidRDefault="003C4D8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124E79">
        <w:rPr>
          <w:rFonts w:ascii="Times New Roman" w:eastAsia="Times New Roman" w:hAnsi="Times New Roman" w:cs="Times New Roman"/>
          <w:lang w:eastAsia="zh-CN" w:bidi="en-US"/>
        </w:rPr>
        <w:t>Kiskőrös Város Képviselő-testülete a 35/2020. képviselő-testületi határozatával döntött, hogy támogatási szerződést köt intézmény üzemeltetési közfeladatok ellátása tárgyában a KŐRÖSSZOLG Nonprofit Kft.-vel (továbbiakban: Kft.) 2020. július 1. napjától 2025. június 30. napjáig terjedő öt év határozott időtartamra. A 71/2022. Képviselő-testületi határozatnak megfelelően 2022. augusztus 1. napjától a Kft. végzi teljes körűen a János Vitéz Látogató Központban az üzemeltetési feladatok ellátását is. A csapadékcsatorna hálózat üzemeltetés 2022. július 27. napjától került átadásra a 70/2022. Képviselő-testületi határozatnak megfelelően.</w:t>
      </w:r>
    </w:p>
    <w:p w14:paraId="18CB358C" w14:textId="77777777" w:rsidR="003C4D8D" w:rsidRPr="00124E79" w:rsidRDefault="003C4D8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14:paraId="0C18CA5A" w14:textId="075E52AB" w:rsidR="003C4D8D" w:rsidRPr="00124E79" w:rsidRDefault="003C4D8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124E79">
        <w:rPr>
          <w:rFonts w:ascii="Times New Roman" w:eastAsia="Times New Roman" w:hAnsi="Times New Roman" w:cs="Times New Roman"/>
          <w:lang w:eastAsia="zh-CN" w:bidi="en-US"/>
        </w:rPr>
        <w:t xml:space="preserve">A Képviselő-testület a 92/2022. határozatával takarékossági intézkedéseket vezetett be az önkormányzati intézményeket, épületeket érintően, hiszen a világgazdaságban zajló gazdasági folyamatok eredményeképpen az energiaárak hatalmas emelkedésen mentek keresztül. </w:t>
      </w:r>
    </w:p>
    <w:p w14:paraId="4896241E" w14:textId="77777777" w:rsidR="000807BA" w:rsidRPr="00124E79" w:rsidRDefault="000807B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14:paraId="65C78DB2" w14:textId="1738D1BE" w:rsidR="00B52B87" w:rsidRPr="00124E79" w:rsidRDefault="00B52B8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124E79">
        <w:rPr>
          <w:rFonts w:ascii="Times New Roman" w:eastAsia="Times New Roman" w:hAnsi="Times New Roman" w:cs="Times New Roman"/>
          <w:lang w:eastAsia="zh-CN" w:bidi="en-US"/>
        </w:rPr>
        <w:t>A sporttelep üzemeltetésével kapcsolatos feladatok ellá</w:t>
      </w:r>
      <w:r w:rsidR="000807BA" w:rsidRPr="00124E79">
        <w:rPr>
          <w:rFonts w:ascii="Times New Roman" w:eastAsia="Times New Roman" w:hAnsi="Times New Roman" w:cs="Times New Roman"/>
          <w:lang w:eastAsia="zh-CN" w:bidi="en-US"/>
        </w:rPr>
        <w:t>tására a Képviselő-testület a 114/2022</w:t>
      </w:r>
      <w:r w:rsidRPr="00124E79">
        <w:rPr>
          <w:rFonts w:ascii="Times New Roman" w:eastAsia="Times New Roman" w:hAnsi="Times New Roman" w:cs="Times New Roman"/>
          <w:lang w:eastAsia="zh-CN" w:bidi="en-US"/>
        </w:rPr>
        <w:t>.</w:t>
      </w:r>
      <w:r w:rsidR="000807BA" w:rsidRPr="00124E79">
        <w:rPr>
          <w:rFonts w:ascii="Times New Roman" w:eastAsia="Times New Roman" w:hAnsi="Times New Roman" w:cs="Times New Roman"/>
          <w:lang w:eastAsia="zh-CN" w:bidi="en-US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 w:bidi="en-US"/>
        </w:rPr>
        <w:t>határozatával a megbízási-üzemeltetési sze</w:t>
      </w:r>
      <w:r w:rsidR="000807BA" w:rsidRPr="00124E79">
        <w:rPr>
          <w:rFonts w:ascii="Times New Roman" w:eastAsia="Times New Roman" w:hAnsi="Times New Roman" w:cs="Times New Roman"/>
          <w:lang w:eastAsia="zh-CN" w:bidi="en-US"/>
        </w:rPr>
        <w:t>rződést meghosszabbította a 2023</w:t>
      </w:r>
      <w:r w:rsidRPr="00124E79">
        <w:rPr>
          <w:rFonts w:ascii="Times New Roman" w:eastAsia="Times New Roman" w:hAnsi="Times New Roman" w:cs="Times New Roman"/>
          <w:lang w:eastAsia="zh-CN" w:bidi="en-US"/>
        </w:rPr>
        <w:t>. évre 8 millió Ft értékben a Kiskőrösi Labdarúgó Clubbal.</w:t>
      </w:r>
    </w:p>
    <w:p w14:paraId="3393CD4A" w14:textId="77777777" w:rsidR="00B52B87" w:rsidRPr="00124E79" w:rsidRDefault="00B52B8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14:paraId="483771BD" w14:textId="77777777" w:rsidR="00B52B87" w:rsidRPr="00124E79" w:rsidRDefault="00B52B8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124E79">
        <w:rPr>
          <w:rFonts w:ascii="Times New Roman" w:eastAsia="Times New Roman" w:hAnsi="Times New Roman" w:cs="Times New Roman"/>
          <w:lang w:eastAsia="zh-CN" w:bidi="en-US"/>
        </w:rPr>
        <w:t>A feladatellátásban egyéb változások nem történtek.</w:t>
      </w:r>
    </w:p>
    <w:p w14:paraId="1213420B" w14:textId="77777777" w:rsidR="004D0AFA" w:rsidRPr="00124E79" w:rsidRDefault="004D0AF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7D9666F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Cs/>
          <w:lang w:eastAsia="zh-CN"/>
        </w:rPr>
        <w:t>A könyvviteli feladatok irányításáért, vezetéséért felelős személy nyilvános adatai:</w:t>
      </w:r>
    </w:p>
    <w:p w14:paraId="3A3B59E9" w14:textId="77777777" w:rsidR="00325868" w:rsidRPr="00124E79" w:rsidRDefault="00325868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Név:                          </w:t>
      </w:r>
      <w:r w:rsidR="004D0AFA" w:rsidRPr="00124E79">
        <w:rPr>
          <w:rFonts w:ascii="Times New Roman" w:eastAsia="Times New Roman" w:hAnsi="Times New Roman" w:cs="Times New Roman"/>
          <w:bCs/>
          <w:lang w:eastAsia="zh-CN"/>
        </w:rPr>
        <w:t>Opauszki Mónika</w:t>
      </w: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14:paraId="11F51238" w14:textId="77777777" w:rsidR="00325868" w:rsidRPr="00124E79" w:rsidRDefault="00325868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Lakóhely:                  </w:t>
      </w:r>
      <w:r w:rsidR="0018373F" w:rsidRPr="00124E79">
        <w:rPr>
          <w:rFonts w:ascii="Times New Roman" w:eastAsia="Times New Roman" w:hAnsi="Times New Roman" w:cs="Times New Roman"/>
          <w:bCs/>
          <w:lang w:eastAsia="zh-CN"/>
        </w:rPr>
        <w:t>6200 Kiskőrös, Rákóczi utca 108</w:t>
      </w:r>
    </w:p>
    <w:p w14:paraId="01C8A844" w14:textId="77777777" w:rsidR="00325868" w:rsidRPr="00124E79" w:rsidRDefault="00325868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Regisztrációs szám:  </w:t>
      </w:r>
      <w:r w:rsidR="0018373F" w:rsidRPr="00124E79">
        <w:rPr>
          <w:rFonts w:ascii="Times New Roman" w:eastAsia="Times New Roman" w:hAnsi="Times New Roman" w:cs="Times New Roman"/>
          <w:bCs/>
          <w:lang w:eastAsia="zh-CN"/>
        </w:rPr>
        <w:t>169047</w:t>
      </w:r>
    </w:p>
    <w:p w14:paraId="09EBFBD8" w14:textId="77777777" w:rsidR="00325868" w:rsidRPr="00124E79" w:rsidRDefault="00325868" w:rsidP="00124E79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3D29375B" w14:textId="77777777" w:rsidR="00325868" w:rsidRPr="00124E79" w:rsidRDefault="0038241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lastRenderedPageBreak/>
        <w:t>3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A bevételi források és azok teljesítése, kiemelve a helyi adókból, illetve az államháztartás más alrendszereiből, továbbá az EU-ból származó bevételeket</w:t>
      </w:r>
    </w:p>
    <w:p w14:paraId="713D7D21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EF65F29" w14:textId="460D03AF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Az 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Önkormányzat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nettósított összes tárgyévi bevétele: </w:t>
      </w:r>
      <w:r w:rsidR="001C263B" w:rsidRPr="00124E79">
        <w:rPr>
          <w:rFonts w:ascii="Times New Roman" w:eastAsia="Times New Roman" w:hAnsi="Times New Roman" w:cs="Times New Roman"/>
          <w:b/>
          <w:lang w:eastAsia="zh-CN"/>
        </w:rPr>
        <w:t>4.417.087.545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Ft, ebből a költségvetési bevétel </w:t>
      </w:r>
      <w:r w:rsidR="001C263B" w:rsidRPr="00124E79">
        <w:rPr>
          <w:rFonts w:ascii="Times New Roman" w:eastAsia="Times New Roman" w:hAnsi="Times New Roman" w:cs="Times New Roman"/>
          <w:b/>
          <w:lang w:eastAsia="zh-CN"/>
        </w:rPr>
        <w:t>3.442.714.996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Ft; a finanszírozási bevételek </w:t>
      </w:r>
      <w:r w:rsidR="001C263B" w:rsidRPr="00124E79">
        <w:rPr>
          <w:rFonts w:ascii="Times New Roman" w:eastAsia="Times New Roman" w:hAnsi="Times New Roman" w:cs="Times New Roman"/>
          <w:b/>
          <w:lang w:eastAsia="zh-CN"/>
        </w:rPr>
        <w:t>974.372.549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3. és a 4. mellékletekben).</w:t>
      </w:r>
    </w:p>
    <w:p w14:paraId="2CAD919F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9B83F8E" w14:textId="071A64D7" w:rsidR="00A27A70" w:rsidRPr="00124E79" w:rsidRDefault="00A27A7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teljesített költségvetési bevételek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legnagyobb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hányada az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önkormányzat</w:t>
      </w:r>
      <w:r w:rsidR="00714E96" w:rsidRPr="00124E79">
        <w:rPr>
          <w:rFonts w:ascii="Times New Roman" w:eastAsia="Times New Roman" w:hAnsi="Times New Roman" w:cs="Times New Roman"/>
          <w:u w:val="single"/>
          <w:lang w:eastAsia="zh-CN"/>
        </w:rPr>
        <w:t>ok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 xml:space="preserve"> működési támogatása</w:t>
      </w:r>
      <w:r w:rsidR="00714E96" w:rsidRPr="00124E79">
        <w:rPr>
          <w:rFonts w:ascii="Times New Roman" w:eastAsia="Times New Roman" w:hAnsi="Times New Roman" w:cs="Times New Roman"/>
          <w:u w:val="single"/>
          <w:lang w:eastAsia="zh-CN"/>
        </w:rPr>
        <w:t>i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(B11) 1</w:t>
      </w:r>
      <w:r w:rsidR="001C263B" w:rsidRPr="00124E79">
        <w:rPr>
          <w:rFonts w:ascii="Times New Roman" w:eastAsia="Times New Roman" w:hAnsi="Times New Roman" w:cs="Times New Roman"/>
          <w:lang w:eastAsia="zh-CN"/>
        </w:rPr>
        <w:t>.392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amely a teljesített költségvetési bevételek </w:t>
      </w:r>
      <w:r w:rsidR="008D4E51" w:rsidRPr="00124E79">
        <w:rPr>
          <w:rFonts w:ascii="Times New Roman" w:eastAsia="Times New Roman" w:hAnsi="Times New Roman" w:cs="Times New Roman"/>
          <w:lang w:eastAsia="zh-CN"/>
        </w:rPr>
        <w:t>40,4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%-a. A köznevelési, kulturális, szociális, gyermekjóléti és g</w:t>
      </w:r>
      <w:r w:rsidR="003155E5" w:rsidRPr="00124E79">
        <w:rPr>
          <w:rFonts w:ascii="Times New Roman" w:eastAsia="Times New Roman" w:hAnsi="Times New Roman" w:cs="Times New Roman"/>
          <w:lang w:eastAsia="zh-CN"/>
        </w:rPr>
        <w:t xml:space="preserve">yermekétkeztetési feladatok, a </w:t>
      </w:r>
      <w:r w:rsidR="003155E5" w:rsidRPr="00124E79">
        <w:rPr>
          <w:rFonts w:ascii="Times New Roman" w:eastAsia="Times New Roman" w:hAnsi="Times New Roman" w:cs="Times New Roman"/>
          <w:i/>
          <w:lang w:eastAsia="zh-CN"/>
        </w:rPr>
        <w:t>H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ivatal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feladatellátás</w:t>
      </w:r>
      <w:r w:rsidR="00F77FCA" w:rsidRPr="00124E79">
        <w:rPr>
          <w:rFonts w:ascii="Times New Roman" w:eastAsia="Times New Roman" w:hAnsi="Times New Roman" w:cs="Times New Roman"/>
          <w:lang w:eastAsia="zh-CN"/>
        </w:rPr>
        <w:t>á</w:t>
      </w:r>
      <w:r w:rsidRPr="00124E79">
        <w:rPr>
          <w:rFonts w:ascii="Times New Roman" w:eastAsia="Times New Roman" w:hAnsi="Times New Roman" w:cs="Times New Roman"/>
          <w:lang w:eastAsia="zh-CN"/>
        </w:rPr>
        <w:t>hoz nyújtott támogatás.</w:t>
      </w:r>
      <w:r w:rsidR="00223FE6" w:rsidRPr="00124E79">
        <w:rPr>
          <w:rFonts w:ascii="Times New Roman" w:eastAsia="Times New Roman" w:hAnsi="Times New Roman" w:cs="Times New Roman"/>
          <w:lang w:eastAsia="hu-HU"/>
        </w:rPr>
        <w:t xml:space="preserve"> Az iparűzési adó mérték csökkentése miatti bevételkieséshez nyújtott állami támogatás összege 18</w:t>
      </w:r>
      <w:r w:rsidR="001C263B" w:rsidRPr="00124E79">
        <w:rPr>
          <w:rFonts w:ascii="Times New Roman" w:eastAsia="Times New Roman" w:hAnsi="Times New Roman" w:cs="Times New Roman"/>
          <w:lang w:eastAsia="hu-HU"/>
        </w:rPr>
        <w:t>5,5</w:t>
      </w:r>
      <w:r w:rsidR="00223FE6" w:rsidRPr="00124E79">
        <w:rPr>
          <w:rFonts w:ascii="Times New Roman" w:eastAsia="Times New Roman" w:hAnsi="Times New Roman" w:cs="Times New Roman"/>
          <w:lang w:eastAsia="hu-HU"/>
        </w:rPr>
        <w:t xml:space="preserve"> millió Ft.</w:t>
      </w:r>
    </w:p>
    <w:p w14:paraId="4C6AE64E" w14:textId="77777777" w:rsidR="00A27A70" w:rsidRPr="00124E79" w:rsidRDefault="00A27A7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3B8A3BA" w14:textId="099493F2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teljesített költségvetési bevételek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2. legnagyobb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hányada, 25,57 %-a </w:t>
      </w:r>
      <w:proofErr w:type="spellStart"/>
      <w:r w:rsidRPr="00124E79">
        <w:rPr>
          <w:rFonts w:ascii="Times New Roman" w:eastAsia="Times New Roman" w:hAnsi="Times New Roman" w:cs="Times New Roman"/>
          <w:lang w:eastAsia="zh-CN"/>
        </w:rPr>
        <w:t>a</w:t>
      </w:r>
      <w:proofErr w:type="spellEnd"/>
      <w:r w:rsidRPr="00124E79">
        <w:rPr>
          <w:rFonts w:ascii="Times New Roman" w:eastAsia="Times New Roman" w:hAnsi="Times New Roman" w:cs="Times New Roman"/>
          <w:lang w:eastAsia="zh-CN"/>
        </w:rPr>
        <w:t xml:space="preserve"> közhatalmi bevételek (B3) között az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adóbevétel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(</w:t>
      </w:r>
      <w:r w:rsidR="00026033" w:rsidRPr="00124E79">
        <w:rPr>
          <w:rFonts w:ascii="Times New Roman" w:eastAsia="Times New Roman" w:hAnsi="Times New Roman" w:cs="Times New Roman"/>
          <w:lang w:eastAsia="zh-CN"/>
        </w:rPr>
        <w:t>880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 millió Ft). </w:t>
      </w:r>
    </w:p>
    <w:p w14:paraId="5D6DB7B0" w14:textId="42DA2728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 202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1</w:t>
      </w:r>
      <w:r w:rsidRPr="00124E79">
        <w:rPr>
          <w:rFonts w:ascii="Times New Roman" w:eastAsia="Times New Roman" w:hAnsi="Times New Roman" w:cs="Times New Roman"/>
          <w:lang w:eastAsia="zh-CN"/>
        </w:rPr>
        <w:t>. évi teljesítéshez k</w:t>
      </w:r>
      <w:r w:rsidR="002B3AB0" w:rsidRPr="00124E79">
        <w:rPr>
          <w:rFonts w:ascii="Times New Roman" w:eastAsia="Times New Roman" w:hAnsi="Times New Roman" w:cs="Times New Roman"/>
          <w:lang w:eastAsia="zh-CN"/>
        </w:rPr>
        <w:t>épest 125,3 millió Ft-tal tö</w:t>
      </w:r>
      <w:r w:rsidRPr="00124E79">
        <w:rPr>
          <w:rFonts w:ascii="Times New Roman" w:eastAsia="Times New Roman" w:hAnsi="Times New Roman" w:cs="Times New Roman"/>
          <w:lang w:eastAsia="zh-CN"/>
        </w:rPr>
        <w:t>bb, a teljesített</w:t>
      </w:r>
    </w:p>
    <w:p w14:paraId="552CCB36" w14:textId="57CC72CC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iparűzési adó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</w:t>
      </w:r>
      <w:r w:rsidR="00026033" w:rsidRPr="00124E79">
        <w:rPr>
          <w:rFonts w:ascii="Times New Roman" w:eastAsia="Times New Roman" w:hAnsi="Times New Roman" w:cs="Times New Roman"/>
          <w:lang w:eastAsia="zh-CN"/>
        </w:rPr>
        <w:t>796,4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    ez    1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29,9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Ft-tal 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tö</w:t>
      </w:r>
      <w:r w:rsidRPr="00124E79">
        <w:rPr>
          <w:rFonts w:ascii="Times New Roman" w:eastAsia="Times New Roman" w:hAnsi="Times New Roman" w:cs="Times New Roman"/>
          <w:lang w:eastAsia="zh-CN"/>
        </w:rPr>
        <w:t>bb,</w:t>
      </w:r>
    </w:p>
    <w:p w14:paraId="327CC344" w14:textId="41F9178C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magánszemélyek kommunális adója      </w:t>
      </w:r>
      <w:r w:rsidR="00026033" w:rsidRPr="00124E79">
        <w:rPr>
          <w:rFonts w:ascii="Times New Roman" w:eastAsia="Times New Roman" w:hAnsi="Times New Roman" w:cs="Times New Roman"/>
          <w:lang w:eastAsia="zh-CN"/>
        </w:rPr>
        <w:t>69,5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    ez       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 xml:space="preserve"> 9,8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Ft-tal 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kevese</w:t>
      </w:r>
      <w:r w:rsidRPr="00124E79">
        <w:rPr>
          <w:rFonts w:ascii="Times New Roman" w:eastAsia="Times New Roman" w:hAnsi="Times New Roman" w:cs="Times New Roman"/>
          <w:lang w:eastAsia="zh-CN"/>
        </w:rPr>
        <w:t>bb,</w:t>
      </w:r>
    </w:p>
    <w:p w14:paraId="775BC9B6" w14:textId="133A54FB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idegenforgalmi adó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    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8,9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    ez        </w:t>
      </w:r>
      <w:r w:rsidR="004F109F" w:rsidRPr="00124E79">
        <w:rPr>
          <w:rFonts w:ascii="Times New Roman" w:eastAsia="Times New Roman" w:hAnsi="Times New Roman" w:cs="Times New Roman"/>
          <w:lang w:eastAsia="zh-CN"/>
        </w:rPr>
        <w:t>5,2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Ft-tal több.</w:t>
      </w:r>
    </w:p>
    <w:p w14:paraId="7AF3DCE7" w14:textId="77777777" w:rsidR="001C263B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100249" w14:textId="573ACFE1" w:rsidR="00A037C6" w:rsidRPr="00124E79" w:rsidRDefault="001F014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noProof/>
          <w:lang w:eastAsia="hu-HU"/>
        </w:rPr>
        <w:drawing>
          <wp:inline distT="0" distB="0" distL="0" distR="0" wp14:anchorId="4BE639AD" wp14:editId="75F87203">
            <wp:extent cx="5706110" cy="2859405"/>
            <wp:effectExtent l="0" t="0" r="889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A18E68" w14:textId="77777777" w:rsidR="001F0147" w:rsidRPr="00124E79" w:rsidRDefault="001F014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C120F42" w14:textId="72B432DB" w:rsidR="00A27A70" w:rsidRPr="00124E79" w:rsidRDefault="001C263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481</w:t>
      </w:r>
      <w:r w:rsidR="00A27A70" w:rsidRPr="00124E79">
        <w:rPr>
          <w:rFonts w:ascii="Times New Roman" w:eastAsia="Times New Roman" w:hAnsi="Times New Roman" w:cs="Times New Roman"/>
          <w:lang w:eastAsia="zh-CN"/>
        </w:rPr>
        <w:t xml:space="preserve"> millió Ft egyéb </w:t>
      </w:r>
      <w:r w:rsidR="00A27A70" w:rsidRPr="00124E79">
        <w:rPr>
          <w:rFonts w:ascii="Times New Roman" w:eastAsia="Times New Roman" w:hAnsi="Times New Roman" w:cs="Times New Roman"/>
          <w:u w:val="single"/>
          <w:lang w:eastAsia="zh-CN"/>
        </w:rPr>
        <w:t>felhalmozási célú támogatás államháztartáson belülről</w:t>
      </w:r>
      <w:r w:rsidR="00A27A70" w:rsidRPr="00124E79">
        <w:rPr>
          <w:rFonts w:ascii="Times New Roman" w:eastAsia="Times New Roman" w:hAnsi="Times New Roman" w:cs="Times New Roman"/>
          <w:lang w:eastAsia="zh-CN"/>
        </w:rPr>
        <w:t xml:space="preserve"> (B2) érkezett (az összes költségvetési bevétel </w:t>
      </w:r>
      <w:r w:rsidRPr="00124E79">
        <w:rPr>
          <w:rFonts w:ascii="Times New Roman" w:eastAsia="Times New Roman" w:hAnsi="Times New Roman" w:cs="Times New Roman"/>
          <w:lang w:eastAsia="zh-CN"/>
        </w:rPr>
        <w:t>14</w:t>
      </w:r>
      <w:r w:rsidR="00A27A70" w:rsidRPr="00124E79">
        <w:rPr>
          <w:rFonts w:ascii="Times New Roman" w:eastAsia="Times New Roman" w:hAnsi="Times New Roman" w:cs="Times New Roman"/>
          <w:lang w:eastAsia="zh-CN"/>
        </w:rPr>
        <w:t xml:space="preserve"> %-a –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3</w:t>
      </w:r>
      <w:r w:rsidR="00A27A70" w:rsidRPr="00124E79">
        <w:rPr>
          <w:rFonts w:ascii="Times New Roman" w:eastAsia="Times New Roman" w:hAnsi="Times New Roman" w:cs="Times New Roman"/>
          <w:u w:val="single"/>
          <w:lang w:eastAsia="zh-CN"/>
        </w:rPr>
        <w:t>. legnagyobb</w:t>
      </w:r>
      <w:r w:rsidR="00A27A70" w:rsidRPr="00124E79">
        <w:rPr>
          <w:rFonts w:ascii="Times New Roman" w:eastAsia="Times New Roman" w:hAnsi="Times New Roman" w:cs="Times New Roman"/>
          <w:lang w:eastAsia="zh-CN"/>
        </w:rPr>
        <w:t xml:space="preserve"> hányad), az alábbi legfontosabb projektekkel összefüggésben:</w:t>
      </w:r>
    </w:p>
    <w:p w14:paraId="1BE03769" w14:textId="5E0DCDF9" w:rsidR="00A27A70" w:rsidRPr="00124E79" w:rsidRDefault="00A27A7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1.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="001C263B" w:rsidRPr="00124E79">
        <w:rPr>
          <w:rFonts w:ascii="Times New Roman" w:eastAsia="Times New Roman" w:hAnsi="Times New Roman" w:cs="Times New Roman"/>
          <w:lang w:eastAsia="zh-CN"/>
        </w:rPr>
        <w:t>TOP-4.3.1-15 - Leromlott városi területek rehabilitációja</w:t>
      </w:r>
      <w:r w:rsidR="00223FE6" w:rsidRPr="00124E79">
        <w:rPr>
          <w:rFonts w:ascii="Times New Roman" w:eastAsia="Times New Roman" w:hAnsi="Times New Roman" w:cs="Times New Roman"/>
          <w:lang w:eastAsia="zh-CN"/>
        </w:rPr>
        <w:tab/>
      </w:r>
      <w:r w:rsidR="001C263B" w:rsidRPr="00124E79">
        <w:rPr>
          <w:rFonts w:ascii="Times New Roman" w:eastAsia="Times New Roman" w:hAnsi="Times New Roman" w:cs="Times New Roman"/>
          <w:lang w:eastAsia="zh-CN"/>
        </w:rPr>
        <w:t>227,5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223FE6" w:rsidRPr="00124E79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4E79">
        <w:rPr>
          <w:rFonts w:ascii="Times New Roman" w:eastAsia="Times New Roman" w:hAnsi="Times New Roman" w:cs="Times New Roman"/>
          <w:lang w:eastAsia="zh-CN"/>
        </w:rPr>
        <w:t>millió Ft,</w:t>
      </w:r>
    </w:p>
    <w:p w14:paraId="03BA8839" w14:textId="4A408FC3" w:rsidR="00A27A70" w:rsidRPr="00124E79" w:rsidRDefault="00A27A7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2.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="001C263B" w:rsidRPr="00124E79">
        <w:rPr>
          <w:rFonts w:ascii="Times New Roman" w:eastAsia="Times New Roman" w:hAnsi="Times New Roman" w:cs="Times New Roman"/>
          <w:lang w:eastAsia="zh-CN"/>
        </w:rPr>
        <w:t>Városi Sporttelep fejlesztés</w:t>
      </w:r>
      <w:r w:rsidR="00223FE6" w:rsidRPr="00124E79">
        <w:rPr>
          <w:rFonts w:ascii="Times New Roman" w:eastAsia="Times New Roman" w:hAnsi="Times New Roman" w:cs="Times New Roman"/>
          <w:lang w:eastAsia="zh-CN"/>
        </w:rPr>
        <w:tab/>
      </w:r>
      <w:r w:rsidR="00223FE6" w:rsidRPr="00124E79">
        <w:rPr>
          <w:rFonts w:ascii="Times New Roman" w:eastAsia="Times New Roman" w:hAnsi="Times New Roman" w:cs="Times New Roman"/>
          <w:lang w:eastAsia="zh-CN"/>
        </w:rPr>
        <w:tab/>
      </w:r>
      <w:r w:rsidR="00223FE6" w:rsidRPr="00124E79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 w:rsidR="001C263B" w:rsidRPr="00124E79">
        <w:rPr>
          <w:rFonts w:ascii="Times New Roman" w:eastAsia="Times New Roman" w:hAnsi="Times New Roman" w:cs="Times New Roman"/>
          <w:lang w:eastAsia="zh-CN"/>
        </w:rPr>
        <w:tab/>
      </w:r>
      <w:r w:rsidR="003C4D8D" w:rsidRPr="00124E79">
        <w:rPr>
          <w:rFonts w:ascii="Times New Roman" w:eastAsia="Times New Roman" w:hAnsi="Times New Roman" w:cs="Times New Roman"/>
          <w:lang w:eastAsia="zh-CN"/>
        </w:rPr>
        <w:tab/>
      </w:r>
      <w:r w:rsidR="001C263B" w:rsidRPr="00124E79">
        <w:rPr>
          <w:rFonts w:ascii="Times New Roman" w:eastAsia="Times New Roman" w:hAnsi="Times New Roman" w:cs="Times New Roman"/>
          <w:lang w:eastAsia="zh-CN"/>
        </w:rPr>
        <w:t>225,7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1C263B" w:rsidRPr="00124E79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124E79">
        <w:rPr>
          <w:rFonts w:ascii="Times New Roman" w:eastAsia="Times New Roman" w:hAnsi="Times New Roman" w:cs="Times New Roman"/>
          <w:lang w:eastAsia="zh-CN"/>
        </w:rPr>
        <w:t>millió Ft,</w:t>
      </w:r>
    </w:p>
    <w:p w14:paraId="5CE30305" w14:textId="77777777" w:rsidR="00B74FBA" w:rsidRPr="00124E79" w:rsidRDefault="00B74FB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0BF7B1B5" w14:textId="25CF6602" w:rsidR="000A0874" w:rsidRPr="00124E79" w:rsidRDefault="000A0874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>Egyéb működési célú támogatások</w:t>
      </w:r>
      <w:r w:rsidR="00237445" w:rsidRPr="00124E79">
        <w:rPr>
          <w:rFonts w:ascii="Times New Roman" w:eastAsia="Times New Roman" w:hAnsi="Times New Roman" w:cs="Times New Roman"/>
          <w:lang w:eastAsia="zh-CN"/>
        </w:rPr>
        <w:t xml:space="preserve"> (B16) 2</w:t>
      </w:r>
      <w:r w:rsidR="00CD2C1A" w:rsidRPr="00124E79">
        <w:rPr>
          <w:rFonts w:ascii="Times New Roman" w:eastAsia="Times New Roman" w:hAnsi="Times New Roman" w:cs="Times New Roman"/>
          <w:lang w:eastAsia="zh-CN"/>
        </w:rPr>
        <w:t>55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Ft-ban érkeztek államháztartáson belülről </w:t>
      </w:r>
      <w:r w:rsidR="002C2F28" w:rsidRPr="00124E79">
        <w:rPr>
          <w:rFonts w:ascii="Times New Roman" w:eastAsia="Times New Roman" w:hAnsi="Times New Roman" w:cs="Times New Roman"/>
          <w:lang w:eastAsia="zh-CN"/>
        </w:rPr>
        <w:t xml:space="preserve">többek között </w:t>
      </w:r>
      <w:r w:rsidRPr="00124E79">
        <w:rPr>
          <w:rFonts w:ascii="Times New Roman" w:eastAsia="Times New Roman" w:hAnsi="Times New Roman" w:cs="Times New Roman"/>
          <w:lang w:eastAsia="zh-CN"/>
        </w:rPr>
        <w:t>az alábbi projektek, feladatok vég</w:t>
      </w:r>
      <w:r w:rsidR="00484ECB" w:rsidRPr="00124E79">
        <w:rPr>
          <w:rFonts w:ascii="Times New Roman" w:eastAsia="Times New Roman" w:hAnsi="Times New Roman" w:cs="Times New Roman"/>
          <w:lang w:eastAsia="zh-CN"/>
        </w:rPr>
        <w:t>rehajtásához</w:t>
      </w:r>
      <w:r w:rsidRPr="00124E79">
        <w:rPr>
          <w:rFonts w:ascii="Times New Roman" w:eastAsia="Times New Roman" w:hAnsi="Times New Roman" w:cs="Times New Roman"/>
          <w:lang w:eastAsia="zh-CN"/>
        </w:rPr>
        <w:t>:</w:t>
      </w:r>
    </w:p>
    <w:p w14:paraId="35EC1340" w14:textId="1850E7BF" w:rsidR="000A0874" w:rsidRPr="00124E79" w:rsidRDefault="000A0874" w:rsidP="00124E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smallCaps/>
          <w:lang w:eastAsia="zh-CN"/>
        </w:rPr>
        <w:t xml:space="preserve">NEAK </w:t>
      </w:r>
      <w:r w:rsidR="00846100" w:rsidRPr="00124E79">
        <w:rPr>
          <w:rFonts w:ascii="Times New Roman" w:eastAsia="Times New Roman" w:hAnsi="Times New Roman" w:cs="Times New Roman"/>
          <w:lang w:eastAsia="zh-CN"/>
        </w:rPr>
        <w:t xml:space="preserve">támogatás </w:t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1F5BBB" w:rsidRPr="00124E79">
        <w:rPr>
          <w:rFonts w:ascii="Times New Roman" w:eastAsia="Times New Roman" w:hAnsi="Times New Roman" w:cs="Times New Roman"/>
          <w:lang w:eastAsia="zh-CN"/>
        </w:rPr>
        <w:tab/>
      </w:r>
      <w:r w:rsidR="00CD2C1A" w:rsidRPr="00124E79">
        <w:rPr>
          <w:rFonts w:ascii="Times New Roman" w:eastAsia="Times New Roman" w:hAnsi="Times New Roman" w:cs="Times New Roman"/>
          <w:lang w:eastAsia="zh-CN"/>
        </w:rPr>
        <w:t>77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468D8BC1" w14:textId="77777777" w:rsidR="00CD2C1A" w:rsidRPr="00124E79" w:rsidRDefault="00CD2C1A" w:rsidP="00124E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smallCaps/>
          <w:lang w:eastAsia="zh-CN"/>
        </w:rPr>
        <w:t xml:space="preserve">TOP-5.2.1-15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Társadalmi együttműködés erősítését szolgáló </w:t>
      </w:r>
    </w:p>
    <w:p w14:paraId="3CAB51B8" w14:textId="2B29762A" w:rsidR="000B1A07" w:rsidRPr="00124E79" w:rsidRDefault="00CD2C1A" w:rsidP="00124E7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helyi szintű komplex programok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ab/>
      </w:r>
      <w:r w:rsidR="00480B5B" w:rsidRPr="00124E79">
        <w:rPr>
          <w:rFonts w:ascii="Times New Roman" w:eastAsia="Times New Roman" w:hAnsi="Times New Roman" w:cs="Times New Roman"/>
          <w:lang w:eastAsia="zh-CN"/>
        </w:rPr>
        <w:tab/>
      </w:r>
      <w:r w:rsidR="00480B5B"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>47,4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136AE706" w14:textId="1D7FE91E" w:rsidR="000A0874" w:rsidRPr="00124E79" w:rsidRDefault="000A0874" w:rsidP="00124E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Egészségfejl</w:t>
      </w:r>
      <w:r w:rsidR="00846100" w:rsidRPr="00124E79">
        <w:rPr>
          <w:rFonts w:ascii="Times New Roman" w:eastAsia="Times New Roman" w:hAnsi="Times New Roman" w:cs="Times New Roman"/>
          <w:lang w:eastAsia="zh-CN"/>
        </w:rPr>
        <w:t xml:space="preserve">esztési Iroda fenntartása  </w:t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</w:r>
      <w:r w:rsidR="00846100"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 </w:t>
      </w:r>
      <w:r w:rsidR="001F5BBB" w:rsidRPr="00124E79">
        <w:rPr>
          <w:rFonts w:ascii="Times New Roman" w:eastAsia="Times New Roman" w:hAnsi="Times New Roman" w:cs="Times New Roman"/>
          <w:lang w:eastAsia="zh-CN"/>
        </w:rPr>
        <w:tab/>
      </w:r>
      <w:r w:rsidR="001F5BBB"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>2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4</w:t>
      </w:r>
      <w:r w:rsidRPr="00124E79">
        <w:rPr>
          <w:rFonts w:ascii="Times New Roman" w:eastAsia="Times New Roman" w:hAnsi="Times New Roman" w:cs="Times New Roman"/>
          <w:lang w:eastAsia="zh-CN"/>
        </w:rPr>
        <w:t>,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1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6F55B73B" w14:textId="0F0D8274" w:rsidR="00A52951" w:rsidRPr="00124E79" w:rsidRDefault="00A52951" w:rsidP="00124E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smallCaps/>
          <w:lang w:eastAsia="zh-CN"/>
        </w:rPr>
        <w:t>TOP-5.1.2-16 - „</w:t>
      </w:r>
      <w:r w:rsidRPr="00124E79">
        <w:rPr>
          <w:rFonts w:ascii="Times New Roman" w:eastAsia="Times New Roman" w:hAnsi="Times New Roman" w:cs="Times New Roman"/>
          <w:lang w:eastAsia="zh-CN"/>
        </w:rPr>
        <w:t>Helyi foglalkoztatási együttműködések</w:t>
      </w:r>
      <w:r w:rsidRPr="00124E79">
        <w:rPr>
          <w:rFonts w:ascii="Times New Roman" w:eastAsia="Times New Roman" w:hAnsi="Times New Roman" w:cs="Times New Roman"/>
          <w:smallCaps/>
          <w:lang w:eastAsia="zh-CN"/>
        </w:rPr>
        <w:t>”</w:t>
      </w:r>
      <w:r w:rsidRPr="00124E79">
        <w:rPr>
          <w:rFonts w:ascii="Times New Roman" w:eastAsia="Times New Roman" w:hAnsi="Times New Roman" w:cs="Times New Roman"/>
          <w:smallCaps/>
          <w:lang w:eastAsia="zh-CN"/>
        </w:rPr>
        <w:tab/>
      </w:r>
      <w:r w:rsidRPr="00124E79">
        <w:rPr>
          <w:rFonts w:ascii="Times New Roman" w:eastAsia="Times New Roman" w:hAnsi="Times New Roman" w:cs="Times New Roman"/>
          <w:smallCaps/>
          <w:lang w:eastAsia="zh-CN"/>
        </w:rPr>
        <w:tab/>
      </w:r>
      <w:r w:rsidRPr="00124E79">
        <w:rPr>
          <w:rFonts w:ascii="Times New Roman" w:eastAsia="Times New Roman" w:hAnsi="Times New Roman" w:cs="Times New Roman"/>
          <w:smallCaps/>
          <w:lang w:eastAsia="zh-CN"/>
        </w:rPr>
        <w:tab/>
        <w:t xml:space="preserve">14,3 </w:t>
      </w:r>
      <w:r w:rsidRPr="00124E79">
        <w:rPr>
          <w:rFonts w:ascii="Times New Roman" w:eastAsia="Times New Roman" w:hAnsi="Times New Roman" w:cs="Times New Roman"/>
          <w:lang w:eastAsia="zh-CN"/>
        </w:rPr>
        <w:t>millió Ft,</w:t>
      </w:r>
    </w:p>
    <w:p w14:paraId="34BF7254" w14:textId="7847CD2B" w:rsidR="00A52951" w:rsidRPr="00124E79" w:rsidRDefault="00A52951" w:rsidP="00124E7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TOP-4.3.1-15 - Leromlott városi területek rehabilitációja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7   millió Ft.</w:t>
      </w:r>
    </w:p>
    <w:p w14:paraId="072D893B" w14:textId="77777777" w:rsidR="00B162B7" w:rsidRPr="00124E79" w:rsidRDefault="00B162B7" w:rsidP="00124E79">
      <w:pPr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14:paraId="78F64AD0" w14:textId="429FB840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>Működési bevételek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(B4) teljesítése 2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47,2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itt teljesülnek a bérbeadásból, gyermekétkeztetésből, </w:t>
      </w:r>
      <w:r w:rsidR="00136C2F" w:rsidRPr="00124E79">
        <w:rPr>
          <w:rFonts w:ascii="Times New Roman" w:eastAsia="Times New Roman" w:hAnsi="Times New Roman" w:cs="Times New Roman"/>
          <w:lang w:eastAsia="zh-CN"/>
        </w:rPr>
        <w:t xml:space="preserve">származó bevételek, idősek otthonában fizetett ellátási díjak, kamat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bevételek. </w:t>
      </w:r>
    </w:p>
    <w:p w14:paraId="1BA0F81D" w14:textId="77777777" w:rsidR="00B8721C" w:rsidRDefault="00B8721C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70C5192C" w14:textId="77777777" w:rsidR="00124E79" w:rsidRDefault="00124E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0B6B850E" w14:textId="77777777" w:rsidR="00124E79" w:rsidRPr="00124E79" w:rsidRDefault="00124E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095B2F67" w14:textId="39F2E9C3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lastRenderedPageBreak/>
        <w:t>Felhalmozási bevételek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(B5) teljesítése 2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0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>,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5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 </w:t>
      </w:r>
      <w:r w:rsidR="00C833B3" w:rsidRPr="00124E79">
        <w:rPr>
          <w:rFonts w:ascii="Times New Roman" w:eastAsia="Times New Roman" w:hAnsi="Times New Roman" w:cs="Times New Roman"/>
          <w:lang w:eastAsia="zh-CN"/>
        </w:rPr>
        <w:t>ezek az ingatlanértékesítések.</w:t>
      </w:r>
    </w:p>
    <w:p w14:paraId="0A36451C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5F05E99C" w14:textId="65D9D72F" w:rsidR="00C6757E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>Működési célú átvett pénzeszközök</w:t>
      </w:r>
      <w:r w:rsidR="001E4C24" w:rsidRPr="00124E79">
        <w:rPr>
          <w:rFonts w:ascii="Times New Roman" w:eastAsia="Times New Roman" w:hAnsi="Times New Roman" w:cs="Times New Roman"/>
          <w:lang w:eastAsia="zh-CN"/>
        </w:rPr>
        <w:t xml:space="preserve"> (B6) te</w:t>
      </w:r>
      <w:r w:rsidR="00C6757E" w:rsidRPr="00124E79">
        <w:rPr>
          <w:rFonts w:ascii="Times New Roman" w:eastAsia="Times New Roman" w:hAnsi="Times New Roman" w:cs="Times New Roman"/>
          <w:lang w:eastAsia="zh-CN"/>
        </w:rPr>
        <w:t xml:space="preserve">ljesítése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41,4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millió Ft, amelyből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16,4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millió Ft a Kőrösszolg Kft 202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1</w:t>
      </w:r>
      <w:r w:rsidR="00C6757E" w:rsidRPr="00124E79">
        <w:rPr>
          <w:rFonts w:ascii="Times New Roman" w:eastAsia="Times New Roman" w:hAnsi="Times New Roman" w:cs="Times New Roman"/>
          <w:lang w:eastAsia="zh-CN"/>
        </w:rPr>
        <w:t>. évi elszámolása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,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22,5</w:t>
      </w:r>
      <w:r w:rsidR="00480B5B" w:rsidRPr="00124E79">
        <w:rPr>
          <w:rFonts w:ascii="Times New Roman" w:eastAsia="Times New Roman" w:hAnsi="Times New Roman" w:cs="Times New Roman"/>
          <w:lang w:eastAsia="zh-CN"/>
        </w:rPr>
        <w:t xml:space="preserve"> millió Ft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Kiskőrösi fürdő fejlesztéséhez érkezett</w:t>
      </w:r>
      <w:r w:rsidR="00C6757E" w:rsidRPr="00124E79">
        <w:rPr>
          <w:rFonts w:ascii="Times New Roman" w:eastAsia="Times New Roman" w:hAnsi="Times New Roman" w:cs="Times New Roman"/>
          <w:lang w:eastAsia="zh-CN"/>
        </w:rPr>
        <w:t>.</w:t>
      </w:r>
    </w:p>
    <w:p w14:paraId="00DFE67C" w14:textId="77777777" w:rsidR="00325868" w:rsidRPr="00124E79" w:rsidRDefault="00C6757E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899CA3C" w14:textId="77777777" w:rsidR="00325868" w:rsidRPr="00124E79" w:rsidRDefault="00F415E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4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A kiadások alakulása (folyó működési és fejlesztési kiadások, a fejlesztési kiadások megbontva EU és hazai forrásokból, ez utóbbiból kiemelten címzett és céltámogatással megvalósuló beruházásokra)</w:t>
      </w:r>
    </w:p>
    <w:p w14:paraId="2EF03990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0DD1F84" w14:textId="21A56D8B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Az 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Önkormányzat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nettósított összes tárgyévi kiadása: </w:t>
      </w:r>
      <w:r w:rsidR="00A52951" w:rsidRPr="00124E79">
        <w:rPr>
          <w:rFonts w:ascii="Times New Roman" w:eastAsia="Times New Roman" w:hAnsi="Times New Roman" w:cs="Times New Roman"/>
          <w:b/>
          <w:lang w:eastAsia="zh-CN"/>
        </w:rPr>
        <w:t>3.720.183.714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Ft, ebből a költségvetési kiadás: </w:t>
      </w:r>
      <w:r w:rsidR="00A52951" w:rsidRPr="00124E79">
        <w:rPr>
          <w:rFonts w:ascii="Times New Roman" w:eastAsia="Times New Roman" w:hAnsi="Times New Roman" w:cs="Times New Roman"/>
          <w:b/>
          <w:lang w:eastAsia="zh-CN"/>
        </w:rPr>
        <w:t>3.603.146.702</w:t>
      </w:r>
      <w:r w:rsidR="00842CC2" w:rsidRPr="00124E79">
        <w:rPr>
          <w:rFonts w:ascii="Times New Roman" w:eastAsia="Times New Roman" w:hAnsi="Times New Roman" w:cs="Times New Roman"/>
          <w:b/>
          <w:lang w:eastAsia="zh-CN"/>
        </w:rPr>
        <w:t xml:space="preserve"> Ft</w:t>
      </w:r>
      <w:r w:rsidR="004E1ADA" w:rsidRPr="00124E79">
        <w:rPr>
          <w:rFonts w:ascii="Times New Roman" w:eastAsia="Times New Roman" w:hAnsi="Times New Roman" w:cs="Times New Roman"/>
          <w:lang w:eastAsia="zh-CN"/>
        </w:rPr>
        <w:t xml:space="preserve">, a finanszírozási kiadások </w:t>
      </w:r>
      <w:r w:rsidR="00A52951" w:rsidRPr="00124E79">
        <w:rPr>
          <w:rFonts w:ascii="Times New Roman" w:eastAsia="Times New Roman" w:hAnsi="Times New Roman" w:cs="Times New Roman"/>
          <w:b/>
          <w:lang w:eastAsia="zh-CN"/>
        </w:rPr>
        <w:t>117.037.012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5. mellékletben).</w:t>
      </w:r>
    </w:p>
    <w:p w14:paraId="4E0EF71D" w14:textId="77777777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F2AE1C3" w14:textId="5BB13387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költségvetési működési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kiadások </w:t>
      </w:r>
      <w:r w:rsidR="00CA2B16" w:rsidRPr="00124E79">
        <w:rPr>
          <w:rFonts w:ascii="Times New Roman" w:eastAsia="Times New Roman" w:hAnsi="Times New Roman" w:cs="Times New Roman"/>
          <w:lang w:eastAsia="zh-CN"/>
        </w:rPr>
        <w:t xml:space="preserve">(az összes költségvetési kiadás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76,8</w:t>
      </w:r>
      <w:r w:rsidR="00CA2B16" w:rsidRPr="00124E79">
        <w:rPr>
          <w:rFonts w:ascii="Times New Roman" w:eastAsia="Times New Roman" w:hAnsi="Times New Roman" w:cs="Times New Roman"/>
          <w:lang w:eastAsia="zh-CN"/>
        </w:rPr>
        <w:t xml:space="preserve">%-a)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legnagyobb hányada,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40,22</w:t>
      </w:r>
      <w:r w:rsidRPr="00124E79">
        <w:rPr>
          <w:rFonts w:ascii="Times New Roman" w:eastAsia="Times New Roman" w:hAnsi="Times New Roman" w:cs="Times New Roman"/>
          <w:lang w:eastAsia="zh-CN"/>
        </w:rPr>
        <w:t>%-a (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1,1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iárd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Ft) a dologi kiadások, a legfontosabbak:</w:t>
      </w:r>
    </w:p>
    <w:p w14:paraId="1B23C198" w14:textId="3D339408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- gyermekétkeztetés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>1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94,8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72624F0B" w14:textId="474E7E99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- </w:t>
      </w:r>
      <w:r w:rsidR="003155E5" w:rsidRPr="00124E79">
        <w:rPr>
          <w:rFonts w:ascii="Times New Roman" w:eastAsia="Times New Roman" w:hAnsi="Times New Roman" w:cs="Times New Roman"/>
          <w:i/>
          <w:lang w:eastAsia="zh-CN"/>
        </w:rPr>
        <w:t>I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ntézmények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működésével kapcsolatos kiadások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>1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45,2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407F53E1" w14:textId="22197C15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</w:t>
      </w:r>
      <w:r w:rsidR="00064E41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>vagyon, épületek fenntartása, karbantartása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130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77D61919" w14:textId="682C6CCD" w:rsidR="00272713" w:rsidRPr="00124E79" w:rsidRDefault="0027271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EFOP-1.5.3-16 - Együtt a szebb jövőért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99,8 millió Ft,</w:t>
      </w:r>
    </w:p>
    <w:p w14:paraId="1538935A" w14:textId="4273071D" w:rsidR="00B37959" w:rsidRPr="00124E79" w:rsidRDefault="00064E41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- 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2022</w:t>
      </w:r>
      <w:r w:rsidR="00B37959" w:rsidRPr="00124E79">
        <w:rPr>
          <w:rFonts w:ascii="Times New Roman" w:eastAsia="Times New Roman" w:hAnsi="Times New Roman" w:cs="Times New Roman"/>
          <w:lang w:eastAsia="zh-CN"/>
        </w:rPr>
        <w:t>. évi városi rendezvények teljes körű lebonyolítása</w:t>
      </w:r>
      <w:r w:rsidR="00B37959" w:rsidRPr="00124E79">
        <w:rPr>
          <w:rFonts w:ascii="Times New Roman" w:eastAsia="Times New Roman" w:hAnsi="Times New Roman" w:cs="Times New Roman"/>
          <w:lang w:eastAsia="zh-CN"/>
        </w:rPr>
        <w:tab/>
      </w:r>
      <w:r w:rsidR="00B37959" w:rsidRPr="00124E79">
        <w:rPr>
          <w:rFonts w:ascii="Times New Roman" w:eastAsia="Times New Roman" w:hAnsi="Times New Roman" w:cs="Times New Roman"/>
          <w:lang w:eastAsia="zh-CN"/>
        </w:rPr>
        <w:tab/>
      </w:r>
      <w:r w:rsidR="00B37959"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76</w:t>
      </w:r>
      <w:r w:rsidR="00B37959"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3679AAF4" w14:textId="143E6AF1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közvilágítás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64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74A02283" w14:textId="5A88CDBC" w:rsidR="00485269" w:rsidRPr="00124E79" w:rsidRDefault="0048526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utak karbantartása, fenntartása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43,2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14:paraId="3E58ED8E" w14:textId="449F77F6" w:rsidR="00B37959" w:rsidRPr="00124E79" w:rsidRDefault="00B379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közművelődési tevékenység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>3</w:t>
      </w:r>
      <w:r w:rsidR="00A35079" w:rsidRPr="00124E79">
        <w:rPr>
          <w:rFonts w:ascii="Times New Roman" w:eastAsia="Times New Roman" w:hAnsi="Times New Roman" w:cs="Times New Roman"/>
          <w:lang w:eastAsia="zh-CN"/>
        </w:rPr>
        <w:t>5,2</w:t>
      </w:r>
      <w:r w:rsidR="000647BE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>millió Ft,</w:t>
      </w:r>
    </w:p>
    <w:p w14:paraId="6197A4CA" w14:textId="588A7968" w:rsidR="00272713" w:rsidRPr="00124E79" w:rsidRDefault="0027271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hitelek kamatkiadásai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34,2 millió Ft,</w:t>
      </w:r>
    </w:p>
    <w:p w14:paraId="37C1368E" w14:textId="02D734A7" w:rsidR="00A35079" w:rsidRPr="00124E79" w:rsidRDefault="00A350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- </w:t>
      </w:r>
      <w:r w:rsidR="00272713" w:rsidRPr="00124E79">
        <w:rPr>
          <w:rFonts w:ascii="Times New Roman" w:eastAsia="Times New Roman" w:hAnsi="Times New Roman" w:cs="Times New Roman"/>
          <w:lang w:eastAsia="zh-CN"/>
        </w:rPr>
        <w:t>TOP -1.1.1-16 Ipari parkok, iparterületek fejlesztése</w:t>
      </w:r>
      <w:r w:rsidR="00272713" w:rsidRPr="00124E79">
        <w:rPr>
          <w:rFonts w:ascii="Times New Roman" w:eastAsia="Times New Roman" w:hAnsi="Times New Roman" w:cs="Times New Roman"/>
          <w:lang w:eastAsia="zh-CN"/>
        </w:rPr>
        <w:tab/>
      </w:r>
      <w:r w:rsidR="00272713" w:rsidRPr="00124E79">
        <w:rPr>
          <w:rFonts w:ascii="Times New Roman" w:eastAsia="Times New Roman" w:hAnsi="Times New Roman" w:cs="Times New Roman"/>
          <w:lang w:eastAsia="zh-CN"/>
        </w:rPr>
        <w:tab/>
      </w:r>
      <w:r w:rsidR="00272713" w:rsidRPr="00124E79">
        <w:rPr>
          <w:rFonts w:ascii="Times New Roman" w:eastAsia="Times New Roman" w:hAnsi="Times New Roman" w:cs="Times New Roman"/>
          <w:lang w:eastAsia="zh-CN"/>
        </w:rPr>
        <w:tab/>
      </w:r>
      <w:r w:rsidR="00272713"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30,9 millió Ft,</w:t>
      </w:r>
      <w:r w:rsidR="00272713" w:rsidRPr="00124E79">
        <w:rPr>
          <w:rFonts w:ascii="Times New Roman" w:eastAsia="Times New Roman" w:hAnsi="Times New Roman" w:cs="Times New Roman"/>
          <w:lang w:eastAsia="zh-CN"/>
        </w:rPr>
        <w:tab/>
      </w:r>
    </w:p>
    <w:p w14:paraId="1B5A5597" w14:textId="6B2E58AB" w:rsidR="00A35079" w:rsidRPr="00124E79" w:rsidRDefault="00A350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TOP-3.1.1-16 - Kerékpárút hálózat fejlesztés Kiskőrös és Tabdi települések között     24,7 millió Ft,</w:t>
      </w:r>
    </w:p>
    <w:p w14:paraId="41528E20" w14:textId="483E4904" w:rsidR="00A35079" w:rsidRPr="00124E79" w:rsidRDefault="00A350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- TOP-1.4.1-19 - Bölcsődei férőhelyek kialakítása, bővítése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23 millió Ft,</w:t>
      </w:r>
    </w:p>
    <w:p w14:paraId="1DA8740E" w14:textId="2ED9D04F" w:rsidR="00272713" w:rsidRPr="00124E79" w:rsidRDefault="0027271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- TOP-4.3.1-15 - Leromlott városi területek rehabilitációja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20,5 millió Ft</w:t>
      </w:r>
    </w:p>
    <w:p w14:paraId="3478AD81" w14:textId="77777777" w:rsidR="00A35079" w:rsidRPr="00124E79" w:rsidRDefault="00A3507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94A1EF" w14:textId="481CBEF0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költségvetési működési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kiadások </w:t>
      </w:r>
      <w:r w:rsidR="00B37959" w:rsidRPr="00124E79">
        <w:rPr>
          <w:rFonts w:ascii="Times New Roman" w:eastAsia="Times New Roman" w:hAnsi="Times New Roman" w:cs="Times New Roman"/>
          <w:lang w:eastAsia="zh-CN"/>
        </w:rPr>
        <w:t>37,9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%-a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személyi jellegű juttatás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és ehhez kapcsolódó munkaadót terhelő 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járulék</w:t>
      </w:r>
      <w:r w:rsidR="00842CC2" w:rsidRPr="00124E79">
        <w:rPr>
          <w:rFonts w:ascii="Times New Roman" w:eastAsia="Times New Roman" w:hAnsi="Times New Roman" w:cs="Times New Roman"/>
          <w:lang w:eastAsia="zh-CN"/>
        </w:rPr>
        <w:t xml:space="preserve"> összesen </w:t>
      </w:r>
      <w:r w:rsidR="00A52951" w:rsidRPr="00124E79">
        <w:rPr>
          <w:rFonts w:ascii="Times New Roman" w:eastAsia="Times New Roman" w:hAnsi="Times New Roman" w:cs="Times New Roman"/>
          <w:lang w:eastAsia="zh-CN"/>
        </w:rPr>
        <w:t>1 milliárd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Ft, </w:t>
      </w:r>
      <w:r w:rsidR="00B37959" w:rsidRPr="00124E79">
        <w:rPr>
          <w:rFonts w:ascii="Times New Roman" w:eastAsia="Times New Roman" w:hAnsi="Times New Roman" w:cs="Times New Roman"/>
          <w:lang w:eastAsia="zh-CN"/>
        </w:rPr>
        <w:t>amelynek legnagyobb része – 7</w:t>
      </w:r>
      <w:r w:rsidR="00C1304F" w:rsidRPr="00124E79">
        <w:rPr>
          <w:rFonts w:ascii="Times New Roman" w:eastAsia="Times New Roman" w:hAnsi="Times New Roman" w:cs="Times New Roman"/>
          <w:lang w:eastAsia="zh-CN"/>
        </w:rPr>
        <w:t>0,4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%-a – </w:t>
      </w:r>
      <w:r w:rsidR="00F9365E" w:rsidRPr="00124E79">
        <w:rPr>
          <w:rFonts w:ascii="Times New Roman" w:eastAsia="Times New Roman" w:hAnsi="Times New Roman" w:cs="Times New Roman"/>
          <w:lang w:eastAsia="zh-CN"/>
        </w:rPr>
        <w:t xml:space="preserve">az </w:t>
      </w:r>
      <w:r w:rsidR="00F9365E" w:rsidRPr="00124E79">
        <w:rPr>
          <w:rFonts w:ascii="Times New Roman" w:eastAsia="Times New Roman" w:hAnsi="Times New Roman" w:cs="Times New Roman"/>
          <w:i/>
          <w:lang w:eastAsia="zh-CN"/>
        </w:rPr>
        <w:t>I</w:t>
      </w:r>
      <w:r w:rsidR="00842CC2" w:rsidRPr="00124E79">
        <w:rPr>
          <w:rFonts w:ascii="Times New Roman" w:eastAsia="Times New Roman" w:hAnsi="Times New Roman" w:cs="Times New Roman"/>
          <w:i/>
          <w:lang w:eastAsia="zh-CN"/>
        </w:rPr>
        <w:t>ntézmények</w:t>
      </w:r>
      <w:r w:rsidR="00F50478" w:rsidRPr="00124E79">
        <w:rPr>
          <w:rFonts w:ascii="Times New Roman" w:eastAsia="Times New Roman" w:hAnsi="Times New Roman" w:cs="Times New Roman"/>
          <w:lang w:eastAsia="zh-CN"/>
        </w:rPr>
        <w:t xml:space="preserve"> 1</w:t>
      </w:r>
      <w:r w:rsidR="00C1304F" w:rsidRPr="00124E79">
        <w:rPr>
          <w:rFonts w:ascii="Times New Roman" w:eastAsia="Times New Roman" w:hAnsi="Times New Roman" w:cs="Times New Roman"/>
          <w:lang w:eastAsia="zh-CN"/>
        </w:rPr>
        <w:t>41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fő közalkalmazotta</w:t>
      </w:r>
      <w:r w:rsidR="006B673A" w:rsidRPr="00124E79">
        <w:rPr>
          <w:rFonts w:ascii="Times New Roman" w:eastAsia="Times New Roman" w:hAnsi="Times New Roman" w:cs="Times New Roman"/>
          <w:lang w:eastAsia="zh-CN"/>
        </w:rPr>
        <w:t xml:space="preserve">k részére teljesített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kifizetések. </w:t>
      </w:r>
    </w:p>
    <w:p w14:paraId="53150499" w14:textId="77777777" w:rsidR="00B608FB" w:rsidRPr="00124E79" w:rsidRDefault="00B608F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685E32F4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Alapítványi támogatások:</w:t>
      </w:r>
    </w:p>
    <w:p w14:paraId="00D59E86" w14:textId="2B3B9978" w:rsidR="008B208E" w:rsidRPr="00124E79" w:rsidRDefault="003270DB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Kiskőrös Városért Alapítvány: </w:t>
      </w:r>
      <w:r w:rsidR="00C14D46" w:rsidRPr="00124E79">
        <w:rPr>
          <w:rFonts w:ascii="Times New Roman" w:eastAsia="Times New Roman" w:hAnsi="Times New Roman" w:cs="Times New Roman"/>
          <w:lang w:eastAsia="zh-CN"/>
        </w:rPr>
        <w:t>80</w:t>
      </w:r>
      <w:r w:rsidR="00F50478" w:rsidRPr="00124E79">
        <w:rPr>
          <w:rFonts w:ascii="Times New Roman" w:eastAsia="Times New Roman" w:hAnsi="Times New Roman" w:cs="Times New Roman"/>
          <w:lang w:eastAsia="zh-CN"/>
        </w:rPr>
        <w:t>0.000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 xml:space="preserve"> Ft</w:t>
      </w:r>
      <w:r w:rsidR="00CD7175" w:rsidRPr="00124E79">
        <w:rPr>
          <w:rFonts w:ascii="Times New Roman" w:eastAsia="Times New Roman" w:hAnsi="Times New Roman" w:cs="Times New Roman"/>
          <w:lang w:eastAsia="zh-CN"/>
        </w:rPr>
        <w:t>,</w:t>
      </w:r>
      <w:r w:rsidR="00F50478" w:rsidRPr="00124E79">
        <w:rPr>
          <w:rFonts w:ascii="Times New Roman" w:eastAsia="Times New Roman" w:hAnsi="Times New Roman" w:cs="Times New Roman"/>
          <w:lang w:eastAsia="zh-CN"/>
        </w:rPr>
        <w:tab/>
        <w:t xml:space="preserve">-    Kiskőrösi </w:t>
      </w:r>
      <w:r w:rsidR="00C14D46" w:rsidRPr="00124E79">
        <w:rPr>
          <w:rFonts w:ascii="Times New Roman" w:eastAsia="Times New Roman" w:hAnsi="Times New Roman" w:cs="Times New Roman"/>
          <w:lang w:eastAsia="zh-CN"/>
        </w:rPr>
        <w:t>Vízisport</w:t>
      </w:r>
      <w:r w:rsidR="00F50478" w:rsidRPr="00124E79">
        <w:rPr>
          <w:rFonts w:ascii="Times New Roman" w:eastAsia="Times New Roman" w:hAnsi="Times New Roman" w:cs="Times New Roman"/>
          <w:lang w:eastAsia="zh-CN"/>
        </w:rPr>
        <w:t xml:space="preserve"> Alapítvány</w:t>
      </w:r>
      <w:r w:rsidRPr="00124E79">
        <w:rPr>
          <w:rFonts w:ascii="Times New Roman" w:hAnsi="Times New Roman" w:cs="Times New Roman"/>
          <w:bCs/>
        </w:rPr>
        <w:t xml:space="preserve">: </w:t>
      </w:r>
      <w:r w:rsidR="00C14D46" w:rsidRPr="00124E79">
        <w:rPr>
          <w:rFonts w:ascii="Times New Roman" w:hAnsi="Times New Roman" w:cs="Times New Roman"/>
          <w:bCs/>
        </w:rPr>
        <w:t>65</w:t>
      </w:r>
      <w:r w:rsidR="00AF5B4E" w:rsidRPr="00124E79">
        <w:rPr>
          <w:rFonts w:ascii="Times New Roman" w:hAnsi="Times New Roman" w:cs="Times New Roman"/>
          <w:bCs/>
        </w:rPr>
        <w:t xml:space="preserve">0.000 </w:t>
      </w:r>
      <w:r w:rsidR="008B208E" w:rsidRPr="00124E79">
        <w:rPr>
          <w:rFonts w:ascii="Times New Roman" w:hAnsi="Times New Roman" w:cs="Times New Roman"/>
          <w:bCs/>
        </w:rPr>
        <w:t>Ft</w:t>
      </w:r>
      <w:r w:rsidR="00C14D46" w:rsidRPr="00124E79">
        <w:rPr>
          <w:rFonts w:ascii="Times New Roman" w:hAnsi="Times New Roman" w:cs="Times New Roman"/>
          <w:bCs/>
        </w:rPr>
        <w:t>,</w:t>
      </w:r>
    </w:p>
    <w:p w14:paraId="1430CACE" w14:textId="3C5B8854" w:rsidR="00C14D46" w:rsidRPr="00124E79" w:rsidRDefault="00C14D46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HC Kiskőrös Alapítvány: 750.000 Ft,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-    Országos Mentőszolgálat Alapítvány: </w:t>
      </w:r>
      <w:r w:rsidR="00A852A6" w:rsidRPr="00124E79">
        <w:rPr>
          <w:rFonts w:ascii="Times New Roman" w:eastAsia="Times New Roman" w:hAnsi="Times New Roman" w:cs="Times New Roman"/>
          <w:lang w:eastAsia="zh-CN"/>
        </w:rPr>
        <w:t>200.000 Ft.</w:t>
      </w:r>
    </w:p>
    <w:p w14:paraId="1E2F3307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C55DCD" w14:textId="5214CBB8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beruházási és felújítási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kiadások (a</w:t>
      </w:r>
      <w:r w:rsidR="00B14A2E" w:rsidRPr="00124E79">
        <w:rPr>
          <w:rFonts w:ascii="Times New Roman" w:eastAsia="Times New Roman" w:hAnsi="Times New Roman" w:cs="Times New Roman"/>
          <w:lang w:eastAsia="zh-CN"/>
        </w:rPr>
        <w:t xml:space="preserve">z összes költségvetési kiadás </w:t>
      </w:r>
      <w:r w:rsidR="00C16FD2" w:rsidRPr="00124E79">
        <w:rPr>
          <w:rFonts w:ascii="Times New Roman" w:eastAsia="Times New Roman" w:hAnsi="Times New Roman" w:cs="Times New Roman"/>
          <w:lang w:eastAsia="zh-CN"/>
        </w:rPr>
        <w:t>23,2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%-a) teljesítése </w:t>
      </w:r>
      <w:r w:rsidR="00C16FD2" w:rsidRPr="00124E79">
        <w:rPr>
          <w:rFonts w:ascii="Times New Roman" w:eastAsia="Times New Roman" w:hAnsi="Times New Roman" w:cs="Times New Roman"/>
          <w:lang w:eastAsia="zh-CN"/>
        </w:rPr>
        <w:t>835</w:t>
      </w:r>
      <w:r w:rsidR="00B14A2E" w:rsidRPr="00124E79">
        <w:rPr>
          <w:rFonts w:ascii="Times New Roman" w:eastAsia="Times New Roman" w:hAnsi="Times New Roman" w:cs="Times New Roman"/>
          <w:lang w:eastAsia="zh-CN"/>
        </w:rPr>
        <w:t xml:space="preserve"> millió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6. mellékletben).</w:t>
      </w:r>
    </w:p>
    <w:p w14:paraId="15AC40AD" w14:textId="77777777" w:rsidR="00A42467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>A legfontosabb beruházások, felújítások teljesített kiadásai</w:t>
      </w:r>
      <w:r w:rsidRPr="00124E79">
        <w:rPr>
          <w:rFonts w:ascii="Times New Roman" w:eastAsia="Times New Roman" w:hAnsi="Times New Roman" w:cs="Times New Roman"/>
          <w:lang w:eastAsia="zh-CN"/>
        </w:rPr>
        <w:t>:</w:t>
      </w:r>
      <w:r w:rsidR="00AC193D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AC193D" w:rsidRPr="00124E79">
        <w:rPr>
          <w:rFonts w:ascii="Times New Roman" w:eastAsia="Times New Roman" w:hAnsi="Times New Roman" w:cs="Times New Roman"/>
          <w:lang w:eastAsia="zh-CN"/>
        </w:rPr>
        <w:tab/>
      </w:r>
      <w:r w:rsidR="00AC193D" w:rsidRPr="00124E79">
        <w:rPr>
          <w:rFonts w:ascii="Times New Roman" w:eastAsia="Times New Roman" w:hAnsi="Times New Roman" w:cs="Times New Roman"/>
          <w:lang w:eastAsia="zh-CN"/>
        </w:rPr>
        <w:tab/>
      </w:r>
      <w:r w:rsidR="00AC193D" w:rsidRPr="00124E79">
        <w:rPr>
          <w:rFonts w:ascii="Times New Roman" w:eastAsia="Times New Roman" w:hAnsi="Times New Roman" w:cs="Times New Roman"/>
          <w:lang w:eastAsia="zh-CN"/>
        </w:rPr>
        <w:tab/>
      </w:r>
      <w:r w:rsidR="00AC193D" w:rsidRPr="00124E79">
        <w:rPr>
          <w:rFonts w:ascii="Times New Roman" w:eastAsia="Times New Roman" w:hAnsi="Times New Roman" w:cs="Times New Roman"/>
          <w:lang w:eastAsia="zh-CN"/>
        </w:rPr>
        <w:tab/>
        <w:t>millió Ft-ban</w:t>
      </w:r>
    </w:p>
    <w:p w14:paraId="0C39FBB7" w14:textId="77777777" w:rsidR="00A33950" w:rsidRPr="00124E79" w:rsidRDefault="00A3395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75"/>
        <w:gridCol w:w="992"/>
      </w:tblGrid>
      <w:tr w:rsidR="008A3A72" w:rsidRPr="00124E79" w14:paraId="086CF756" w14:textId="77777777" w:rsidTr="00AC193D">
        <w:trPr>
          <w:trHeight w:val="222"/>
        </w:trPr>
        <w:tc>
          <w:tcPr>
            <w:tcW w:w="8075" w:type="dxa"/>
          </w:tcPr>
          <w:p w14:paraId="277A428F" w14:textId="159E54B3" w:rsidR="00A33950" w:rsidRPr="00124E79" w:rsidRDefault="00C16FD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Városi Sporttelep fejlesztés</w:t>
            </w:r>
          </w:p>
        </w:tc>
        <w:tc>
          <w:tcPr>
            <w:tcW w:w="992" w:type="dxa"/>
          </w:tcPr>
          <w:p w14:paraId="18582415" w14:textId="0D61DFD4" w:rsidR="00A33950" w:rsidRPr="00124E79" w:rsidRDefault="00C37D62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C16FD2" w:rsidRPr="00124E79">
              <w:rPr>
                <w:rFonts w:ascii="Times New Roman" w:eastAsia="Times New Roman" w:hAnsi="Times New Roman" w:cs="Times New Roman"/>
                <w:lang w:eastAsia="zh-CN"/>
              </w:rPr>
              <w:t>161,7</w:t>
            </w:r>
          </w:p>
        </w:tc>
      </w:tr>
      <w:tr w:rsidR="008A3A72" w:rsidRPr="00124E79" w14:paraId="4CFCB8C4" w14:textId="77777777" w:rsidTr="00AC193D">
        <w:tc>
          <w:tcPr>
            <w:tcW w:w="8075" w:type="dxa"/>
          </w:tcPr>
          <w:p w14:paraId="575954D4" w14:textId="790BE753" w:rsidR="00C37D62" w:rsidRPr="00124E79" w:rsidRDefault="00C16FD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TOP -1.1.1-16 Ipari parkok, iparterületek fejlesztése</w:t>
            </w:r>
          </w:p>
        </w:tc>
        <w:tc>
          <w:tcPr>
            <w:tcW w:w="992" w:type="dxa"/>
          </w:tcPr>
          <w:p w14:paraId="19181C27" w14:textId="6463D028" w:rsidR="00C37D62" w:rsidRPr="00124E79" w:rsidRDefault="00C37D62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C16FD2"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90,7</w:t>
            </w:r>
          </w:p>
        </w:tc>
      </w:tr>
      <w:tr w:rsidR="008A3A72" w:rsidRPr="00124E79" w14:paraId="110D6CDE" w14:textId="77777777" w:rsidTr="00AC193D">
        <w:tc>
          <w:tcPr>
            <w:tcW w:w="8075" w:type="dxa"/>
          </w:tcPr>
          <w:p w14:paraId="164924AD" w14:textId="5E85DE69" w:rsidR="00B82834" w:rsidRPr="00124E79" w:rsidRDefault="00C16FD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TOP-1.4.1-19 - Bölcsődei férőhelyek kialakítása, bővítése</w:t>
            </w:r>
          </w:p>
        </w:tc>
        <w:tc>
          <w:tcPr>
            <w:tcW w:w="992" w:type="dxa"/>
          </w:tcPr>
          <w:p w14:paraId="0F10C2CA" w14:textId="362AE9D4" w:rsidR="00B82834" w:rsidRPr="00124E79" w:rsidRDefault="00886E01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C16FD2"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87,7</w:t>
            </w:r>
          </w:p>
        </w:tc>
      </w:tr>
      <w:tr w:rsidR="008A3A72" w:rsidRPr="00124E79" w14:paraId="20A749AE" w14:textId="77777777" w:rsidTr="00AC193D">
        <w:tc>
          <w:tcPr>
            <w:tcW w:w="8075" w:type="dxa"/>
          </w:tcPr>
          <w:p w14:paraId="4B163DF0" w14:textId="6EE47DD5" w:rsidR="00B82834" w:rsidRPr="00124E79" w:rsidRDefault="00C16FD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Pátria - ingatlan vásárlás</w:t>
            </w:r>
          </w:p>
        </w:tc>
        <w:tc>
          <w:tcPr>
            <w:tcW w:w="992" w:type="dxa"/>
          </w:tcPr>
          <w:p w14:paraId="2F53105B" w14:textId="5D7CC448" w:rsidR="00B82834" w:rsidRPr="00124E79" w:rsidRDefault="00C37D62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r w:rsidR="005C75CE"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 </w:t>
            </w: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="00C16FD2" w:rsidRPr="00124E7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</w:p>
        </w:tc>
      </w:tr>
      <w:tr w:rsidR="008A3A72" w:rsidRPr="00124E79" w14:paraId="4945F360" w14:textId="77777777" w:rsidTr="00AC193D">
        <w:tc>
          <w:tcPr>
            <w:tcW w:w="8075" w:type="dxa"/>
          </w:tcPr>
          <w:p w14:paraId="4CC24AC9" w14:textId="42FC5F38" w:rsidR="00A33950" w:rsidRPr="00124E79" w:rsidRDefault="00C16FD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TOP-4.3.1-15 - Leromlott városi területek rehabilitációja</w:t>
            </w:r>
          </w:p>
        </w:tc>
        <w:tc>
          <w:tcPr>
            <w:tcW w:w="992" w:type="dxa"/>
          </w:tcPr>
          <w:p w14:paraId="54BBF229" w14:textId="152BB4EC" w:rsidR="00A33950" w:rsidRPr="00124E79" w:rsidRDefault="00092AE7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  6</w:t>
            </w:r>
            <w:r w:rsidR="00C16FD2" w:rsidRPr="00124E79">
              <w:rPr>
                <w:rFonts w:ascii="Times New Roman" w:eastAsia="Times New Roman" w:hAnsi="Times New Roman" w:cs="Times New Roman"/>
                <w:lang w:eastAsia="zh-CN"/>
              </w:rPr>
              <w:t>4,4</w:t>
            </w:r>
          </w:p>
        </w:tc>
      </w:tr>
      <w:tr w:rsidR="008A3A72" w:rsidRPr="00124E79" w14:paraId="59A62410" w14:textId="77777777" w:rsidTr="00AC193D">
        <w:tc>
          <w:tcPr>
            <w:tcW w:w="8075" w:type="dxa"/>
          </w:tcPr>
          <w:p w14:paraId="1B96739B" w14:textId="14E43E2D" w:rsidR="00092AE7" w:rsidRPr="00124E79" w:rsidRDefault="008A3A7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Befejezett víziközmű, ivóvízkút bekötése</w:t>
            </w:r>
          </w:p>
        </w:tc>
        <w:tc>
          <w:tcPr>
            <w:tcW w:w="992" w:type="dxa"/>
          </w:tcPr>
          <w:p w14:paraId="75DDD0F4" w14:textId="676D9BBD" w:rsidR="00092AE7" w:rsidRPr="00124E79" w:rsidRDefault="00092AE7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8A3A72"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63</w:t>
            </w:r>
          </w:p>
        </w:tc>
      </w:tr>
      <w:tr w:rsidR="008A3A72" w:rsidRPr="00124E79" w14:paraId="7C7AEC51" w14:textId="77777777" w:rsidTr="00AC193D">
        <w:tc>
          <w:tcPr>
            <w:tcW w:w="8075" w:type="dxa"/>
          </w:tcPr>
          <w:p w14:paraId="55C26ABA" w14:textId="0C666C51" w:rsidR="00092AE7" w:rsidRPr="00124E79" w:rsidRDefault="008A3A72" w:rsidP="00124E79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>Kossuth utca 41.</w:t>
            </w:r>
          </w:p>
        </w:tc>
        <w:tc>
          <w:tcPr>
            <w:tcW w:w="992" w:type="dxa"/>
          </w:tcPr>
          <w:p w14:paraId="1E855783" w14:textId="1DF88B3E" w:rsidR="00092AE7" w:rsidRPr="00124E79" w:rsidRDefault="00092AE7" w:rsidP="00124E79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  <w:r w:rsidR="008A3A72" w:rsidRPr="00124E79">
              <w:rPr>
                <w:rFonts w:ascii="Times New Roman" w:eastAsia="Times New Roman" w:hAnsi="Times New Roman" w:cs="Times New Roman"/>
                <w:lang w:eastAsia="zh-CN"/>
              </w:rPr>
              <w:t xml:space="preserve">  31,3</w:t>
            </w:r>
          </w:p>
        </w:tc>
      </w:tr>
    </w:tbl>
    <w:p w14:paraId="0E7F1321" w14:textId="77777777" w:rsidR="00A33950" w:rsidRPr="00124E79" w:rsidRDefault="00A3395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1A9C22E" w14:textId="73372703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Kutatás és kísérleti</w:t>
      </w:r>
      <w:r w:rsidR="00F92C5F" w:rsidRPr="00124E79">
        <w:rPr>
          <w:rFonts w:ascii="Times New Roman" w:eastAsia="Times New Roman" w:hAnsi="Times New Roman" w:cs="Times New Roman"/>
          <w:lang w:eastAsia="zh-CN"/>
        </w:rPr>
        <w:t xml:space="preserve"> fejlesztéssel kapcsolatban 202</w:t>
      </w:r>
      <w:r w:rsidR="008A3A72" w:rsidRPr="00124E79">
        <w:rPr>
          <w:rFonts w:ascii="Times New Roman" w:eastAsia="Times New Roman" w:hAnsi="Times New Roman" w:cs="Times New Roman"/>
          <w:lang w:eastAsia="zh-CN"/>
        </w:rPr>
        <w:t>2</w:t>
      </w:r>
      <w:r w:rsidR="00F92C5F" w:rsidRPr="00124E79">
        <w:rPr>
          <w:rFonts w:ascii="Times New Roman" w:eastAsia="Times New Roman" w:hAnsi="Times New Roman" w:cs="Times New Roman"/>
          <w:lang w:eastAsia="zh-CN"/>
        </w:rPr>
        <w:t>-be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n kiadása nem volt az 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Önkormányzatnak</w:t>
      </w:r>
      <w:r w:rsidRPr="00124E79">
        <w:rPr>
          <w:rFonts w:ascii="Times New Roman" w:eastAsia="Times New Roman" w:hAnsi="Times New Roman" w:cs="Times New Roman"/>
          <w:lang w:eastAsia="zh-CN"/>
        </w:rPr>
        <w:t>.</w:t>
      </w:r>
    </w:p>
    <w:p w14:paraId="188B57A6" w14:textId="77777777" w:rsidR="00930CD4" w:rsidRPr="00124E79" w:rsidRDefault="00930CD4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34AE3560" w14:textId="77777777" w:rsidR="00325868" w:rsidRPr="00124E79" w:rsidRDefault="00F415E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5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Vis maior feladatok</w:t>
      </w:r>
    </w:p>
    <w:p w14:paraId="1A4274F3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28D564A" w14:textId="77777777" w:rsidR="00325868" w:rsidRPr="00124E79" w:rsidRDefault="00325868" w:rsidP="00124E7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Vis maior feladatokra sem bevételt, sem kiadást nem terveztünk, teljesítés sem történt.</w:t>
      </w:r>
    </w:p>
    <w:p w14:paraId="0333F75B" w14:textId="77777777" w:rsidR="00325868" w:rsidRPr="00124E79" w:rsidRDefault="00325868" w:rsidP="00124E79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14:paraId="7BA50073" w14:textId="77777777" w:rsidR="00325868" w:rsidRPr="00124E79" w:rsidRDefault="00F415EA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6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Pénzmaradványok változásának tartalma és okai</w:t>
      </w:r>
    </w:p>
    <w:p w14:paraId="040F3AEE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75471BC" w14:textId="4908E04A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lastRenderedPageBreak/>
        <w:t xml:space="preserve">Az 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>Önkormányzat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összes maradványa (intézményenként a zárszámadásról szóló rendelet-tervezet 11. mellékletb</w:t>
      </w:r>
      <w:r w:rsidR="00B05D20" w:rsidRPr="00124E79">
        <w:rPr>
          <w:rFonts w:ascii="Times New Roman" w:eastAsia="Times New Roman" w:hAnsi="Times New Roman" w:cs="Times New Roman"/>
          <w:lang w:eastAsia="zh-CN"/>
        </w:rPr>
        <w:t xml:space="preserve">en) az előző évihez képest </w:t>
      </w:r>
      <w:r w:rsidR="00CF4B35" w:rsidRPr="00124E79">
        <w:rPr>
          <w:rFonts w:ascii="Times New Roman" w:eastAsia="Times New Roman" w:hAnsi="Times New Roman" w:cs="Times New Roman"/>
          <w:lang w:eastAsia="zh-CN"/>
        </w:rPr>
        <w:t>232,7 millió Ft-tal kevesebb</w:t>
      </w:r>
      <w:r w:rsidR="009B21FC" w:rsidRPr="00124E79">
        <w:rPr>
          <w:rFonts w:ascii="Times New Roman" w:eastAsia="Times New Roman" w:hAnsi="Times New Roman" w:cs="Times New Roman"/>
          <w:lang w:eastAsia="zh-CN"/>
        </w:rPr>
        <w:t>:</w:t>
      </w:r>
    </w:p>
    <w:p w14:paraId="5D9C18C1" w14:textId="7089BF47" w:rsidR="00325868" w:rsidRPr="00124E79" w:rsidRDefault="008646BF" w:rsidP="00124E7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202</w:t>
      </w:r>
      <w:r w:rsidR="00CF4B35" w:rsidRPr="00124E79">
        <w:rPr>
          <w:rFonts w:ascii="Times New Roman" w:eastAsia="Times New Roman" w:hAnsi="Times New Roman" w:cs="Times New Roman"/>
          <w:lang w:eastAsia="zh-CN"/>
        </w:rPr>
        <w:t>2</w:t>
      </w:r>
      <w:r w:rsidR="00B05D20" w:rsidRPr="00124E79">
        <w:rPr>
          <w:rFonts w:ascii="Times New Roman" w:eastAsia="Times New Roman" w:hAnsi="Times New Roman" w:cs="Times New Roman"/>
          <w:lang w:eastAsia="zh-CN"/>
        </w:rPr>
        <w:t xml:space="preserve">. évi:  </w:t>
      </w:r>
      <w:r w:rsidR="00CF4B35" w:rsidRPr="00124E79">
        <w:rPr>
          <w:rFonts w:ascii="Times New Roman" w:eastAsia="Times New Roman" w:hAnsi="Times New Roman" w:cs="Times New Roman"/>
          <w:lang w:eastAsia="zh-CN"/>
        </w:rPr>
        <w:t>696.903.831</w:t>
      </w:r>
      <w:r w:rsidR="00783DFC" w:rsidRPr="00124E79">
        <w:rPr>
          <w:rFonts w:ascii="Times New Roman" w:eastAsia="Times New Roman" w:hAnsi="Times New Roman" w:cs="Times New Roman"/>
          <w:lang w:eastAsia="zh-CN"/>
        </w:rPr>
        <w:t xml:space="preserve"> Ft </w:t>
      </w:r>
      <w:r w:rsidR="00783DFC" w:rsidRPr="00124E79">
        <w:rPr>
          <w:rFonts w:ascii="Times New Roman" w:eastAsia="Times New Roman" w:hAnsi="Times New Roman" w:cs="Times New Roman"/>
          <w:lang w:eastAsia="zh-CN"/>
        </w:rPr>
        <w:tab/>
      </w:r>
      <w:r w:rsidR="00F6728C" w:rsidRPr="00124E79">
        <w:rPr>
          <w:rFonts w:ascii="Times New Roman" w:eastAsia="Times New Roman" w:hAnsi="Times New Roman" w:cs="Times New Roman"/>
          <w:lang w:eastAsia="zh-CN"/>
        </w:rPr>
        <w:t>2021</w:t>
      </w:r>
      <w:r w:rsidR="00AB0D40" w:rsidRPr="00124E79">
        <w:rPr>
          <w:rFonts w:ascii="Times New Roman" w:eastAsia="Times New Roman" w:hAnsi="Times New Roman" w:cs="Times New Roman"/>
          <w:lang w:eastAsia="zh-CN"/>
        </w:rPr>
        <w:t xml:space="preserve">. évi </w:t>
      </w:r>
      <w:r w:rsidR="009B21FC" w:rsidRPr="00124E79">
        <w:rPr>
          <w:rFonts w:ascii="Times New Roman" w:eastAsia="Times New Roman" w:hAnsi="Times New Roman" w:cs="Times New Roman"/>
          <w:lang w:eastAsia="zh-CN"/>
        </w:rPr>
        <w:t xml:space="preserve">: 929.594.352 </w:t>
      </w:r>
      <w:r w:rsidR="00AB0D40" w:rsidRPr="00124E79">
        <w:rPr>
          <w:rFonts w:ascii="Times New Roman" w:eastAsia="Times New Roman" w:hAnsi="Times New Roman" w:cs="Times New Roman"/>
          <w:lang w:eastAsia="zh-CN"/>
        </w:rPr>
        <w:t xml:space="preserve">Ft </w:t>
      </w:r>
    </w:p>
    <w:p w14:paraId="486E8DB0" w14:textId="1B3A29D5" w:rsidR="00FF5723" w:rsidRPr="00124E79" w:rsidRDefault="00A852A6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 xml:space="preserve"> 202</w:t>
      </w:r>
      <w:r w:rsidRPr="00124E79">
        <w:rPr>
          <w:rFonts w:ascii="Times New Roman" w:eastAsia="Times New Roman" w:hAnsi="Times New Roman" w:cs="Times New Roman"/>
          <w:lang w:eastAsia="zh-CN"/>
        </w:rPr>
        <w:t>2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 xml:space="preserve">. évi teljesített költségvetési </w:t>
      </w:r>
      <w:r w:rsidR="00727EA1" w:rsidRPr="00124E79">
        <w:rPr>
          <w:rFonts w:ascii="Times New Roman" w:eastAsia="Times New Roman" w:hAnsi="Times New Roman" w:cs="Times New Roman"/>
          <w:lang w:eastAsia="zh-CN"/>
        </w:rPr>
        <w:t>bevétel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 xml:space="preserve">összesen 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>(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>3,</w:t>
      </w:r>
      <w:r w:rsidRPr="00124E79">
        <w:rPr>
          <w:rFonts w:ascii="Times New Roman" w:eastAsia="Times New Roman" w:hAnsi="Times New Roman" w:cs="Times New Roman"/>
          <w:lang w:eastAsia="zh-CN"/>
        </w:rPr>
        <w:t>443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m</w:t>
      </w:r>
      <w:r w:rsidR="00744ECC" w:rsidRPr="00124E79">
        <w:rPr>
          <w:rFonts w:ascii="Times New Roman" w:eastAsia="Times New Roman" w:hAnsi="Times New Roman" w:cs="Times New Roman"/>
          <w:lang w:eastAsia="zh-CN"/>
        </w:rPr>
        <w:t xml:space="preserve">illiárd 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>Ft)</w:t>
      </w:r>
      <w:r w:rsidR="00727EA1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>minimálisan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>(</w:t>
      </w:r>
      <w:r w:rsidRPr="00124E79">
        <w:rPr>
          <w:rFonts w:ascii="Times New Roman" w:eastAsia="Times New Roman" w:hAnsi="Times New Roman" w:cs="Times New Roman"/>
          <w:lang w:eastAsia="zh-CN"/>
        </w:rPr>
        <w:t>84 millió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Ft</w:t>
      </w:r>
      <w:r w:rsidR="00783DFC" w:rsidRPr="00124E79">
        <w:rPr>
          <w:rFonts w:ascii="Times New Roman" w:eastAsia="Times New Roman" w:hAnsi="Times New Roman" w:cs="Times New Roman"/>
          <w:lang w:eastAsia="zh-CN"/>
        </w:rPr>
        <w:t>-tal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124E79">
        <w:rPr>
          <w:rFonts w:ascii="Times New Roman" w:eastAsia="Times New Roman" w:hAnsi="Times New Roman" w:cs="Times New Roman"/>
          <w:lang w:eastAsia="zh-CN"/>
        </w:rPr>
        <w:t>kevesebb, mint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 xml:space="preserve"> a 202</w:t>
      </w:r>
      <w:r w:rsidRPr="00124E79">
        <w:rPr>
          <w:rFonts w:ascii="Times New Roman" w:eastAsia="Times New Roman" w:hAnsi="Times New Roman" w:cs="Times New Roman"/>
          <w:lang w:eastAsia="zh-CN"/>
        </w:rPr>
        <w:t>1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 xml:space="preserve">. évi teljesített költségvetési bevétel 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 xml:space="preserve">összesen 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>(</w:t>
      </w:r>
      <w:r w:rsidRPr="00124E79">
        <w:rPr>
          <w:rFonts w:ascii="Times New Roman" w:eastAsia="Times New Roman" w:hAnsi="Times New Roman" w:cs="Times New Roman"/>
          <w:lang w:eastAsia="zh-CN"/>
        </w:rPr>
        <w:t>3,527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m</w:t>
      </w:r>
      <w:r w:rsidR="00744ECC" w:rsidRPr="00124E79">
        <w:rPr>
          <w:rFonts w:ascii="Times New Roman" w:eastAsia="Times New Roman" w:hAnsi="Times New Roman" w:cs="Times New Roman"/>
          <w:lang w:eastAsia="zh-CN"/>
        </w:rPr>
        <w:t>illiár</w:t>
      </w:r>
      <w:r w:rsidR="00666467" w:rsidRPr="00124E79">
        <w:rPr>
          <w:rFonts w:ascii="Times New Roman" w:eastAsia="Times New Roman" w:hAnsi="Times New Roman" w:cs="Times New Roman"/>
          <w:lang w:eastAsia="zh-CN"/>
        </w:rPr>
        <w:t>d Ft)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 xml:space="preserve">, 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>ezzel szemben a 202</w:t>
      </w:r>
      <w:r w:rsidRPr="00124E79">
        <w:rPr>
          <w:rFonts w:ascii="Times New Roman" w:eastAsia="Times New Roman" w:hAnsi="Times New Roman" w:cs="Times New Roman"/>
          <w:lang w:eastAsia="zh-CN"/>
        </w:rPr>
        <w:t>2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 xml:space="preserve">. évi teljesített költségvetési kiadás 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 xml:space="preserve">összesen 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>(</w:t>
      </w:r>
      <w:r w:rsidRPr="00124E79">
        <w:rPr>
          <w:rFonts w:ascii="Times New Roman" w:eastAsia="Times New Roman" w:hAnsi="Times New Roman" w:cs="Times New Roman"/>
          <w:lang w:eastAsia="zh-CN"/>
        </w:rPr>
        <w:t>3,603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m</w:t>
      </w:r>
      <w:r w:rsidR="00744ECC" w:rsidRPr="00124E79">
        <w:rPr>
          <w:rFonts w:ascii="Times New Roman" w:eastAsia="Times New Roman" w:hAnsi="Times New Roman" w:cs="Times New Roman"/>
          <w:lang w:eastAsia="zh-CN"/>
        </w:rPr>
        <w:t>illiár</w:t>
      </w:r>
      <w:r w:rsidR="005E7C11" w:rsidRPr="00124E79">
        <w:rPr>
          <w:rFonts w:ascii="Times New Roman" w:eastAsia="Times New Roman" w:hAnsi="Times New Roman" w:cs="Times New Roman"/>
          <w:lang w:eastAsia="zh-CN"/>
        </w:rPr>
        <w:t>d Ft)</w:t>
      </w:r>
      <w:r w:rsidR="009E7D73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>jelentős</w:t>
      </w:r>
      <w:r w:rsidR="009E7D73" w:rsidRPr="00124E79">
        <w:rPr>
          <w:rFonts w:ascii="Times New Roman" w:eastAsia="Times New Roman" w:hAnsi="Times New Roman" w:cs="Times New Roman"/>
          <w:lang w:eastAsia="zh-CN"/>
        </w:rPr>
        <w:t xml:space="preserve"> mértékben</w:t>
      </w:r>
      <w:r w:rsidR="00C34A07" w:rsidRPr="00124E79">
        <w:rPr>
          <w:rFonts w:ascii="Times New Roman" w:eastAsia="Times New Roman" w:hAnsi="Times New Roman" w:cs="Times New Roman"/>
          <w:lang w:eastAsia="zh-CN"/>
        </w:rPr>
        <w:t xml:space="preserve"> (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401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 xml:space="preserve"> millió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Ft</w:t>
      </w:r>
      <w:r w:rsidR="00783DFC" w:rsidRPr="00124E79">
        <w:rPr>
          <w:rFonts w:ascii="Times New Roman" w:eastAsia="Times New Roman" w:hAnsi="Times New Roman" w:cs="Times New Roman"/>
          <w:lang w:eastAsia="zh-CN"/>
        </w:rPr>
        <w:t>-tal</w:t>
      </w:r>
      <w:r w:rsidR="00C34A07" w:rsidRPr="00124E79">
        <w:rPr>
          <w:rFonts w:ascii="Times New Roman" w:eastAsia="Times New Roman" w:hAnsi="Times New Roman" w:cs="Times New Roman"/>
          <w:lang w:eastAsia="zh-CN"/>
        </w:rPr>
        <w:t xml:space="preserve">) </w:t>
      </w:r>
      <w:r w:rsidRPr="00124E79">
        <w:rPr>
          <w:rFonts w:ascii="Times New Roman" w:eastAsia="Times New Roman" w:hAnsi="Times New Roman" w:cs="Times New Roman"/>
          <w:lang w:eastAsia="zh-CN"/>
        </w:rPr>
        <w:t>kevesebb, mint</w:t>
      </w:r>
      <w:r w:rsidR="001E7DF6" w:rsidRPr="00124E79">
        <w:rPr>
          <w:rFonts w:ascii="Times New Roman" w:eastAsia="Times New Roman" w:hAnsi="Times New Roman" w:cs="Times New Roman"/>
          <w:lang w:eastAsia="zh-CN"/>
        </w:rPr>
        <w:t xml:space="preserve"> a 202</w:t>
      </w:r>
      <w:r w:rsidRPr="00124E79">
        <w:rPr>
          <w:rFonts w:ascii="Times New Roman" w:eastAsia="Times New Roman" w:hAnsi="Times New Roman" w:cs="Times New Roman"/>
          <w:lang w:eastAsia="zh-CN"/>
        </w:rPr>
        <w:t>1</w:t>
      </w:r>
      <w:r w:rsidR="00C34A07" w:rsidRPr="00124E79">
        <w:rPr>
          <w:rFonts w:ascii="Times New Roman" w:eastAsia="Times New Roman" w:hAnsi="Times New Roman" w:cs="Times New Roman"/>
          <w:lang w:eastAsia="zh-CN"/>
        </w:rPr>
        <w:t>. évi teljesített költségvetési kiadások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 xml:space="preserve"> összesen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(</w:t>
      </w:r>
      <w:r w:rsidRPr="00124E79">
        <w:rPr>
          <w:rFonts w:ascii="Times New Roman" w:eastAsia="Times New Roman" w:hAnsi="Times New Roman" w:cs="Times New Roman"/>
          <w:lang w:eastAsia="zh-CN"/>
        </w:rPr>
        <w:t>4,004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 xml:space="preserve"> m</w:t>
      </w:r>
      <w:r w:rsidR="00744ECC" w:rsidRPr="00124E79">
        <w:rPr>
          <w:rFonts w:ascii="Times New Roman" w:eastAsia="Times New Roman" w:hAnsi="Times New Roman" w:cs="Times New Roman"/>
          <w:lang w:eastAsia="zh-CN"/>
        </w:rPr>
        <w:t>illiár</w:t>
      </w:r>
      <w:r w:rsidR="00CB1A81" w:rsidRPr="00124E79">
        <w:rPr>
          <w:rFonts w:ascii="Times New Roman" w:eastAsia="Times New Roman" w:hAnsi="Times New Roman" w:cs="Times New Roman"/>
          <w:lang w:eastAsia="zh-CN"/>
        </w:rPr>
        <w:t>d Ft)</w:t>
      </w:r>
      <w:r w:rsidR="00B2667A" w:rsidRPr="00124E79">
        <w:rPr>
          <w:rFonts w:ascii="Times New Roman" w:eastAsia="Times New Roman" w:hAnsi="Times New Roman" w:cs="Times New Roman"/>
          <w:lang w:eastAsia="zh-CN"/>
        </w:rPr>
        <w:t xml:space="preserve">. </w:t>
      </w:r>
    </w:p>
    <w:p w14:paraId="543E7027" w14:textId="712340B9" w:rsidR="00485005" w:rsidRPr="00124E79" w:rsidRDefault="00783DFC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</w:t>
      </w:r>
      <w:r w:rsidR="006247DF" w:rsidRPr="00124E79">
        <w:rPr>
          <w:rFonts w:ascii="Times New Roman" w:eastAsia="Times New Roman" w:hAnsi="Times New Roman" w:cs="Times New Roman"/>
          <w:lang w:eastAsia="zh-CN"/>
        </w:rPr>
        <w:t xml:space="preserve"> költségvetési egyenleg</w:t>
      </w:r>
      <w:r w:rsidR="002C7C9C" w:rsidRPr="00124E79">
        <w:rPr>
          <w:rFonts w:ascii="Times New Roman" w:eastAsia="Times New Roman" w:hAnsi="Times New Roman" w:cs="Times New Roman"/>
          <w:lang w:eastAsia="zh-CN"/>
        </w:rPr>
        <w:t xml:space="preserve"> - hiány</w:t>
      </w:r>
      <w:r w:rsidR="00FF5723" w:rsidRPr="00124E79">
        <w:rPr>
          <w:rFonts w:ascii="Times New Roman" w:eastAsia="Times New Roman" w:hAnsi="Times New Roman" w:cs="Times New Roman"/>
          <w:lang w:eastAsia="zh-CN"/>
        </w:rPr>
        <w:t xml:space="preserve"> javult -</w:t>
      </w:r>
      <w:r w:rsidR="00A852A6" w:rsidRPr="00124E79">
        <w:rPr>
          <w:rFonts w:ascii="Times New Roman" w:eastAsia="Times New Roman" w:hAnsi="Times New Roman" w:cs="Times New Roman"/>
          <w:lang w:eastAsia="zh-CN"/>
        </w:rPr>
        <w:t>477,2</w:t>
      </w:r>
      <w:r w:rsidR="00FF5723" w:rsidRPr="00124E79">
        <w:rPr>
          <w:rFonts w:ascii="Times New Roman" w:eastAsia="Times New Roman" w:hAnsi="Times New Roman" w:cs="Times New Roman"/>
          <w:lang w:eastAsia="zh-CN"/>
        </w:rPr>
        <w:t xml:space="preserve"> millió Ft-ról</w:t>
      </w:r>
      <w:r w:rsidR="006247DF" w:rsidRPr="00124E79">
        <w:rPr>
          <w:rFonts w:ascii="Times New Roman" w:eastAsia="Times New Roman" w:hAnsi="Times New Roman" w:cs="Times New Roman"/>
          <w:lang w:eastAsia="zh-CN"/>
        </w:rPr>
        <w:t xml:space="preserve"> -</w:t>
      </w:r>
      <w:r w:rsidR="00A852A6" w:rsidRPr="00124E79">
        <w:rPr>
          <w:rFonts w:ascii="Times New Roman" w:eastAsia="Times New Roman" w:hAnsi="Times New Roman" w:cs="Times New Roman"/>
          <w:lang w:eastAsia="zh-CN"/>
        </w:rPr>
        <w:t>160,4</w:t>
      </w:r>
      <w:r w:rsidR="00B2667A" w:rsidRPr="00124E79">
        <w:rPr>
          <w:rFonts w:ascii="Times New Roman" w:eastAsia="Times New Roman" w:hAnsi="Times New Roman" w:cs="Times New Roman"/>
          <w:lang w:eastAsia="zh-CN"/>
        </w:rPr>
        <w:t xml:space="preserve"> m</w:t>
      </w:r>
      <w:r w:rsidR="00744ECC" w:rsidRPr="00124E79">
        <w:rPr>
          <w:rFonts w:ascii="Times New Roman" w:eastAsia="Times New Roman" w:hAnsi="Times New Roman" w:cs="Times New Roman"/>
          <w:lang w:eastAsia="zh-CN"/>
        </w:rPr>
        <w:t>illió</w:t>
      </w:r>
      <w:r w:rsidR="00B2667A" w:rsidRPr="00124E79">
        <w:rPr>
          <w:rFonts w:ascii="Times New Roman" w:eastAsia="Times New Roman" w:hAnsi="Times New Roman" w:cs="Times New Roman"/>
          <w:lang w:eastAsia="zh-CN"/>
        </w:rPr>
        <w:t xml:space="preserve"> Ft</w:t>
      </w:r>
      <w:r w:rsidR="00FF5723" w:rsidRPr="00124E79">
        <w:rPr>
          <w:rFonts w:ascii="Times New Roman" w:eastAsia="Times New Roman" w:hAnsi="Times New Roman" w:cs="Times New Roman"/>
          <w:lang w:eastAsia="zh-CN"/>
        </w:rPr>
        <w:t>-ra</w:t>
      </w:r>
      <w:r w:rsidR="002C7C9C" w:rsidRPr="00124E79">
        <w:rPr>
          <w:rFonts w:ascii="Times New Roman" w:eastAsia="Times New Roman" w:hAnsi="Times New Roman" w:cs="Times New Roman"/>
          <w:lang w:eastAsia="zh-CN"/>
        </w:rPr>
        <w:t xml:space="preserve"> (</w:t>
      </w:r>
      <w:r w:rsidR="00056846" w:rsidRPr="00124E79">
        <w:rPr>
          <w:rFonts w:ascii="Times New Roman" w:eastAsia="Times New Roman" w:hAnsi="Times New Roman" w:cs="Times New Roman"/>
          <w:lang w:eastAsia="zh-CN"/>
        </w:rPr>
        <w:t xml:space="preserve">rendelet-tervezet </w:t>
      </w:r>
      <w:r w:rsidR="002C7C9C" w:rsidRPr="00124E79">
        <w:rPr>
          <w:rFonts w:ascii="Times New Roman" w:eastAsia="Times New Roman" w:hAnsi="Times New Roman" w:cs="Times New Roman"/>
          <w:lang w:eastAsia="zh-CN"/>
        </w:rPr>
        <w:t>2. melléklet)</w:t>
      </w:r>
      <w:r w:rsidR="00B2667A" w:rsidRPr="00124E79">
        <w:rPr>
          <w:rFonts w:ascii="Times New Roman" w:eastAsia="Times New Roman" w:hAnsi="Times New Roman" w:cs="Times New Roman"/>
          <w:lang w:eastAsia="zh-CN"/>
        </w:rPr>
        <w:t xml:space="preserve">. A finanszírozási bevételek nyújtottak fedezetet a </w:t>
      </w:r>
      <w:r w:rsidR="00C8095C" w:rsidRPr="00124E79">
        <w:rPr>
          <w:rFonts w:ascii="Times New Roman" w:eastAsia="Times New Roman" w:hAnsi="Times New Roman" w:cs="Times New Roman"/>
          <w:lang w:eastAsia="zh-CN"/>
        </w:rPr>
        <w:t xml:space="preserve">költségvetési </w:t>
      </w:r>
      <w:r w:rsidR="00450CF2" w:rsidRPr="00124E79">
        <w:rPr>
          <w:rFonts w:ascii="Times New Roman" w:eastAsia="Times New Roman" w:hAnsi="Times New Roman" w:cs="Times New Roman"/>
          <w:lang w:eastAsia="zh-CN"/>
        </w:rPr>
        <w:t>kiadások teljesítéséhez.</w:t>
      </w:r>
    </w:p>
    <w:p w14:paraId="7A61727D" w14:textId="1335AD46" w:rsidR="00485005" w:rsidRPr="00124E79" w:rsidRDefault="00485005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lang w:eastAsia="hu-HU"/>
        </w:rPr>
      </w:pPr>
    </w:p>
    <w:p w14:paraId="0D44FF6B" w14:textId="70B93AB3" w:rsidR="002F3CF0" w:rsidRPr="00124E79" w:rsidRDefault="002F3CF0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124E79">
        <w:rPr>
          <w:rFonts w:ascii="Times New Roman" w:eastAsia="Times New Roman" w:hAnsi="Times New Roman" w:cs="Times New Roman"/>
          <w:noProof/>
          <w:color w:val="FF0000"/>
          <w:lang w:eastAsia="hu-HU"/>
        </w:rPr>
        <w:drawing>
          <wp:inline distT="0" distB="0" distL="0" distR="0" wp14:anchorId="389927E6" wp14:editId="26051EA3">
            <wp:extent cx="6143625" cy="2615565"/>
            <wp:effectExtent l="0" t="0" r="9525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21BF3" w14:textId="77777777" w:rsidR="004F0086" w:rsidRPr="00124E79" w:rsidRDefault="004F0086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FA6FA8A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maradványok felosztását a zárszámadásról szóló rendelet-tervezet 12. melléklete tartalmazza. </w:t>
      </w:r>
    </w:p>
    <w:p w14:paraId="03E661FE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4A094B" w14:textId="77777777" w:rsidR="00325868" w:rsidRPr="00124E79" w:rsidRDefault="00F415EA" w:rsidP="00124E7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7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Értékpapír- és hitelműveletek alakulása, a hitel-állomány változásának tartalma, okai</w:t>
      </w:r>
    </w:p>
    <w:p w14:paraId="0B5348AF" w14:textId="77777777" w:rsidR="00325868" w:rsidRPr="00124E79" w:rsidRDefault="00325868" w:rsidP="00124E79">
      <w:pPr>
        <w:suppressAutoHyphens/>
        <w:overflowPunct w:val="0"/>
        <w:autoSpaceDE w:val="0"/>
        <w:spacing w:after="0" w:line="240" w:lineRule="auto"/>
        <w:ind w:left="1068" w:hanging="360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zh-CN"/>
        </w:rPr>
      </w:pPr>
    </w:p>
    <w:p w14:paraId="15180B2A" w14:textId="77777777" w:rsidR="000056D1" w:rsidRPr="00124E79" w:rsidRDefault="00B212EA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124E79">
        <w:rPr>
          <w:rFonts w:ascii="Times New Roman" w:eastAsia="Times New Roman" w:hAnsi="Times New Roman" w:cs="Times New Roman"/>
          <w:i/>
          <w:lang w:eastAsia="hu-HU"/>
        </w:rPr>
        <w:t>Önkormányzat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, </w:t>
      </w:r>
      <w:r w:rsidR="008319EF" w:rsidRPr="00124E79">
        <w:rPr>
          <w:rFonts w:ascii="Times New Roman" w:eastAsia="Times New Roman" w:hAnsi="Times New Roman" w:cs="Times New Roman"/>
          <w:lang w:eastAsia="hu-HU"/>
        </w:rPr>
        <w:t xml:space="preserve">a </w:t>
      </w:r>
      <w:r w:rsidR="008319EF" w:rsidRPr="00124E79">
        <w:rPr>
          <w:rFonts w:ascii="Times New Roman" w:eastAsia="Times New Roman" w:hAnsi="Times New Roman" w:cs="Times New Roman"/>
          <w:i/>
          <w:lang w:eastAsia="hu-HU"/>
        </w:rPr>
        <w:t>H</w:t>
      </w:r>
      <w:r w:rsidRPr="00124E79">
        <w:rPr>
          <w:rFonts w:ascii="Times New Roman" w:eastAsia="Times New Roman" w:hAnsi="Times New Roman" w:cs="Times New Roman"/>
          <w:i/>
          <w:lang w:eastAsia="hu-HU"/>
        </w:rPr>
        <w:t>iva</w:t>
      </w:r>
      <w:r w:rsidR="008319EF" w:rsidRPr="00124E79">
        <w:rPr>
          <w:rFonts w:ascii="Times New Roman" w:eastAsia="Times New Roman" w:hAnsi="Times New Roman" w:cs="Times New Roman"/>
          <w:i/>
          <w:lang w:eastAsia="hu-HU"/>
        </w:rPr>
        <w:t>tal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, </w:t>
      </w:r>
      <w:r w:rsidR="008319EF" w:rsidRPr="00124E7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F9365E" w:rsidRPr="00124E79">
        <w:rPr>
          <w:rFonts w:ascii="Times New Roman" w:eastAsia="Times New Roman" w:hAnsi="Times New Roman" w:cs="Times New Roman"/>
          <w:i/>
          <w:lang w:eastAsia="hu-HU"/>
        </w:rPr>
        <w:t>I</w:t>
      </w:r>
      <w:r w:rsidR="008319EF" w:rsidRPr="00124E79">
        <w:rPr>
          <w:rFonts w:ascii="Times New Roman" w:eastAsia="Times New Roman" w:hAnsi="Times New Roman" w:cs="Times New Roman"/>
          <w:i/>
          <w:lang w:eastAsia="hu-HU"/>
        </w:rPr>
        <w:t>ntézmények</w:t>
      </w:r>
      <w:r w:rsidR="003211CF" w:rsidRPr="00124E79">
        <w:rPr>
          <w:rFonts w:ascii="Times New Roman" w:eastAsia="Times New Roman" w:hAnsi="Times New Roman" w:cs="Times New Roman"/>
          <w:lang w:eastAsia="hu-HU"/>
        </w:rPr>
        <w:t>, valamint Nemzetiségi Ö</w:t>
      </w:r>
      <w:r w:rsidR="000056D1" w:rsidRPr="00124E79">
        <w:rPr>
          <w:rFonts w:ascii="Times New Roman" w:eastAsia="Times New Roman" w:hAnsi="Times New Roman" w:cs="Times New Roman"/>
          <w:lang w:eastAsia="hu-HU"/>
        </w:rPr>
        <w:t>nk</w:t>
      </w:r>
      <w:r w:rsidRPr="00124E79">
        <w:rPr>
          <w:rFonts w:ascii="Times New Roman" w:eastAsia="Times New Roman" w:hAnsi="Times New Roman" w:cs="Times New Roman"/>
          <w:lang w:eastAsia="hu-HU"/>
        </w:rPr>
        <w:t>ormányzatok</w:t>
      </w:r>
      <w:r w:rsidR="000056D1" w:rsidRPr="00124E79">
        <w:rPr>
          <w:rFonts w:ascii="Times New Roman" w:eastAsia="Times New Roman" w:hAnsi="Times New Roman" w:cs="Times New Roman"/>
          <w:lang w:eastAsia="hu-HU"/>
        </w:rPr>
        <w:t xml:space="preserve"> számlavezető pénzintézete a 12/2020. (VI.3.) sz. Polgármesteri határozat alapján a K&amp;H Bank Zrt., 1095 Budapest, Lechner Ödön fasor 9.. </w:t>
      </w:r>
    </w:p>
    <w:p w14:paraId="5670F677" w14:textId="072BCF89" w:rsidR="000056D1" w:rsidRPr="00124E79" w:rsidRDefault="000056D1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_DdeLink__278_2174644988"/>
      <w:r w:rsidRPr="00124E79">
        <w:rPr>
          <w:rFonts w:ascii="Times New Roman" w:eastAsia="Times New Roman" w:hAnsi="Times New Roman" w:cs="Times New Roman"/>
          <w:lang w:eastAsia="hu-HU"/>
        </w:rPr>
        <w:t xml:space="preserve">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>Önkormányzat</w:t>
      </w:r>
      <w:bookmarkEnd w:id="0"/>
      <w:r w:rsidRPr="00124E79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választott számlavezető pénzintézete 2014. július 1. napjától 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a K &amp; H Bank Zrt.. 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 xml:space="preserve">Önkormányzat 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jelenleg 250 000 000 Ft folyószámlahitel-kerettel rendelkezik ugyanezen határozatnak megfelelően. Ezen határozat alapján - a </w:t>
      </w:r>
      <w:r w:rsidRPr="00124E79">
        <w:rPr>
          <w:rFonts w:ascii="Times New Roman" w:eastAsia="Times New Roman" w:hAnsi="Times New Roman" w:cs="Times New Roman"/>
          <w:i/>
          <w:lang w:eastAsia="hu-HU"/>
        </w:rPr>
        <w:t xml:space="preserve">katasztrófavédelemről és a hozzá kapcsolódó egyes törvények módosításáról 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szóló 2011. évi CXXVIII. törvény 46. § (4) bekezdésben foglalt felhatalmazás alapján - a polgármester 3 éves határozott időtartamra - 2020.07.01. napjától 2023.06.30. napjáig - a bankszámlaszerződést és a 250.000.000 forint keretösszegű folyószámlahitel szerződést – likvid hitelként - a K&amp;H Bank Zrt.-vel megkötötte. A hitel-keret a határozatnak megfelelően csak naptári éven belül áll 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>Önkormányzat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 rendelkezésére, minden naptári év december 31. napján feltöltésre kerül, majd a következő naptári év január első munkanapján ismételten megnyílik. A hitelkeretet 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 xml:space="preserve">Önkormányzat </w:t>
      </w:r>
      <w:r w:rsidR="007B1CD1" w:rsidRPr="00124E79">
        <w:rPr>
          <w:rFonts w:ascii="Times New Roman" w:eastAsia="Times New Roman" w:hAnsi="Times New Roman" w:cs="Times New Roman"/>
          <w:lang w:eastAsia="hu-HU"/>
        </w:rPr>
        <w:t>2022</w:t>
      </w:r>
      <w:r w:rsidRPr="00124E79">
        <w:rPr>
          <w:rFonts w:ascii="Times New Roman" w:eastAsia="Times New Roman" w:hAnsi="Times New Roman" w:cs="Times New Roman"/>
          <w:lang w:eastAsia="hu-HU"/>
        </w:rPr>
        <w:t>. évben nem vette igénybe, csak lehetőségként, tartalékul szolgált.</w:t>
      </w:r>
    </w:p>
    <w:p w14:paraId="46AC1383" w14:textId="77777777" w:rsidR="000056D1" w:rsidRPr="00124E79" w:rsidRDefault="000056D1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2757217" w14:textId="1EA6289D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Calibri" w:hAnsi="Times New Roman" w:cs="Times New Roman"/>
          <w:lang w:eastAsia="hu-HU"/>
        </w:rPr>
        <w:t xml:space="preserve">Az </w:t>
      </w:r>
      <w:r w:rsidRPr="00124E79">
        <w:rPr>
          <w:rFonts w:ascii="Times New Roman" w:eastAsia="Calibri" w:hAnsi="Times New Roman" w:cs="Times New Roman"/>
          <w:i/>
          <w:iCs/>
          <w:lang w:eastAsia="hu-HU"/>
        </w:rPr>
        <w:t>Önkormányzat</w:t>
      </w:r>
      <w:r w:rsidR="007B1CD1" w:rsidRPr="00124E79">
        <w:rPr>
          <w:rFonts w:ascii="Times New Roman" w:eastAsia="Calibri" w:hAnsi="Times New Roman" w:cs="Times New Roman"/>
          <w:lang w:eastAsia="hu-HU"/>
        </w:rPr>
        <w:t xml:space="preserve"> 2022</w:t>
      </w:r>
      <w:r w:rsidRPr="00124E79">
        <w:rPr>
          <w:rFonts w:ascii="Times New Roman" w:eastAsia="Calibri" w:hAnsi="Times New Roman" w:cs="Times New Roman"/>
          <w:lang w:eastAsia="hu-HU"/>
        </w:rPr>
        <w:t xml:space="preserve">. január 1. napján rendelkezett </w:t>
      </w:r>
      <w:r w:rsidRPr="00124E79">
        <w:rPr>
          <w:rFonts w:ascii="Times New Roman" w:eastAsia="Calibri" w:hAnsi="Times New Roman" w:cs="Times New Roman"/>
          <w:i/>
          <w:iCs/>
          <w:lang w:eastAsia="hu-HU"/>
        </w:rPr>
        <w:t>Magyarország gazdasági stabilitásáról</w:t>
      </w:r>
      <w:r w:rsidRPr="00124E79">
        <w:rPr>
          <w:rFonts w:ascii="Times New Roman" w:eastAsia="Calibri" w:hAnsi="Times New Roman" w:cs="Times New Roman"/>
          <w:lang w:eastAsia="hu-HU"/>
        </w:rPr>
        <w:t xml:space="preserve"> szóló 2011. évi CXCIV. törvény 8. § (2) bekezdésében meghatározott adósságot keletkeztető fejlesztési célú ügylettel.</w:t>
      </w:r>
    </w:p>
    <w:p w14:paraId="7EA6AC9A" w14:textId="77777777" w:rsidR="000056D1" w:rsidRPr="00124E79" w:rsidRDefault="000056D1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14:paraId="4C079349" w14:textId="49E623AB" w:rsidR="00063B0F" w:rsidRPr="00124E79" w:rsidRDefault="0092555B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 xml:space="preserve">Az </w:t>
      </w:r>
      <w:r w:rsidR="00063B0F" w:rsidRPr="00124E79">
        <w:rPr>
          <w:rFonts w:ascii="Times New Roman" w:eastAsia="Calibri" w:hAnsi="Times New Roman" w:cs="Times New Roman"/>
          <w:i/>
          <w:iCs/>
          <w:lang w:eastAsia="hu-HU"/>
        </w:rPr>
        <w:t>Önkormányzat</w:t>
      </w:r>
      <w:r w:rsidR="00063B0F" w:rsidRPr="00124E79">
        <w:rPr>
          <w:rFonts w:ascii="Times New Roman" w:eastAsia="Calibri" w:hAnsi="Times New Roman" w:cs="Times New Roman"/>
          <w:lang w:eastAsia="hu-HU"/>
        </w:rPr>
        <w:t xml:space="preserve"> a </w:t>
      </w:r>
      <w:proofErr w:type="spellStart"/>
      <w:r w:rsidR="00063B0F" w:rsidRPr="00124E79">
        <w:rPr>
          <w:rFonts w:ascii="Times New Roman" w:eastAsia="Calibri" w:hAnsi="Times New Roman" w:cs="Times New Roman"/>
          <w:lang w:eastAsia="hu-HU"/>
        </w:rPr>
        <w:t>Gst</w:t>
      </w:r>
      <w:proofErr w:type="spellEnd"/>
      <w:r w:rsidR="00063B0F" w:rsidRPr="00124E79">
        <w:rPr>
          <w:rFonts w:ascii="Times New Roman" w:eastAsia="Calibri" w:hAnsi="Times New Roman" w:cs="Times New Roman"/>
          <w:lang w:eastAsia="hu-HU"/>
        </w:rPr>
        <w:t>. 10. § (5) bekezdése szerinti fizetési kötelezettségbe beszámítandó megkötött adósságot keletkeztető ügylettel (</w:t>
      </w:r>
      <w:proofErr w:type="spellStart"/>
      <w:r w:rsidR="00063B0F" w:rsidRPr="00124E79">
        <w:rPr>
          <w:rFonts w:ascii="Times New Roman" w:eastAsia="Calibri" w:hAnsi="Times New Roman" w:cs="Times New Roman"/>
          <w:lang w:eastAsia="hu-HU"/>
        </w:rPr>
        <w:t>Gst</w:t>
      </w:r>
      <w:proofErr w:type="spellEnd"/>
      <w:r w:rsidR="00063B0F" w:rsidRPr="00124E79">
        <w:rPr>
          <w:rFonts w:ascii="Times New Roman" w:eastAsia="Calibri" w:hAnsi="Times New Roman" w:cs="Times New Roman"/>
          <w:lang w:eastAsia="hu-HU"/>
        </w:rPr>
        <w:t>. 8. § (2) bekezdés a) pont) rendelkezik. A piaccsarnok vásárlás, felújítás céljára felvett 300 millió Ft és az LTP szerződésekkel fedezett közműfejlesztés megvalósítására felvett 80 millió Ft végtörlesztése 2022. I. félévében megtörtént.</w:t>
      </w:r>
    </w:p>
    <w:p w14:paraId="59AA2CC9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A megkötött beruházási/fejlesztési hitelszerződés összege 920 millió Ft:</w:t>
      </w:r>
    </w:p>
    <w:p w14:paraId="70850FFB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570 millió Ft új óvoda építéséhez (2/2017., 42/2017. és 88/2019. </w:t>
      </w:r>
      <w:proofErr w:type="spellStart"/>
      <w:r w:rsidRPr="00124E79">
        <w:rPr>
          <w:rFonts w:ascii="Times New Roman" w:eastAsia="Calibri" w:hAnsi="Times New Roman" w:cs="Times New Roman"/>
          <w:lang w:eastAsia="hu-HU"/>
        </w:rPr>
        <w:t>képv</w:t>
      </w:r>
      <w:proofErr w:type="spellEnd"/>
      <w:r w:rsidRPr="00124E79">
        <w:rPr>
          <w:rFonts w:ascii="Times New Roman" w:eastAsia="Calibri" w:hAnsi="Times New Roman" w:cs="Times New Roman"/>
          <w:lang w:eastAsia="hu-HU"/>
        </w:rPr>
        <w:t>. test. hat., 1607/2017. (IX.5.) korm.hat., lejárata: 2027. augusztus 30.)</w:t>
      </w:r>
    </w:p>
    <w:p w14:paraId="3BC2FEC7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lastRenderedPageBreak/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250 millió Ft kerékpárút megvalósításához (42/2019. és 89/2019. </w:t>
      </w:r>
      <w:proofErr w:type="spellStart"/>
      <w:r w:rsidRPr="00124E79">
        <w:rPr>
          <w:rFonts w:ascii="Times New Roman" w:eastAsia="Calibri" w:hAnsi="Times New Roman" w:cs="Times New Roman"/>
          <w:lang w:eastAsia="hu-HU"/>
        </w:rPr>
        <w:t>képv</w:t>
      </w:r>
      <w:proofErr w:type="spellEnd"/>
      <w:r w:rsidRPr="00124E79">
        <w:rPr>
          <w:rFonts w:ascii="Times New Roman" w:eastAsia="Calibri" w:hAnsi="Times New Roman" w:cs="Times New Roman"/>
          <w:lang w:eastAsia="hu-HU"/>
        </w:rPr>
        <w:t>. test. hat.,1630/2019. (XI.8.) korm.hat., lejárata: 2029. november 29.),</w:t>
      </w:r>
    </w:p>
    <w:p w14:paraId="42B4F607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100 millió Ft földesút aszfalt burkolattal történő ellátásához (42/2019. és 89/2019. </w:t>
      </w:r>
      <w:proofErr w:type="spellStart"/>
      <w:r w:rsidRPr="00124E79">
        <w:rPr>
          <w:rFonts w:ascii="Times New Roman" w:eastAsia="Calibri" w:hAnsi="Times New Roman" w:cs="Times New Roman"/>
          <w:lang w:eastAsia="hu-HU"/>
        </w:rPr>
        <w:t>képv</w:t>
      </w:r>
      <w:proofErr w:type="spellEnd"/>
      <w:r w:rsidRPr="00124E79">
        <w:rPr>
          <w:rFonts w:ascii="Times New Roman" w:eastAsia="Calibri" w:hAnsi="Times New Roman" w:cs="Times New Roman"/>
          <w:lang w:eastAsia="hu-HU"/>
        </w:rPr>
        <w:t>. test. hat.,1630/2019. (XI.8.) korm.hat., lejárata: 2029. november 29.)</w:t>
      </w:r>
    </w:p>
    <w:p w14:paraId="334F4D4D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került felvételre.</w:t>
      </w:r>
    </w:p>
    <w:p w14:paraId="045545E3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</w:p>
    <w:p w14:paraId="5666D0CF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 xml:space="preserve">A hitelszerződésekből </w:t>
      </w:r>
    </w:p>
    <w:p w14:paraId="416569A5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az új óvoda építéséhez 273,8 millió Ft, </w:t>
      </w:r>
    </w:p>
    <w:p w14:paraId="6A92AD9D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a kerékpárút megvalósításához 181,6 millió Ft </w:t>
      </w:r>
    </w:p>
    <w:p w14:paraId="181B559A" w14:textId="77777777" w:rsidR="00063B0F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-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a földesút aszfalt burkolattal történő ellátásához 97,2 millió Ft </w:t>
      </w:r>
    </w:p>
    <w:p w14:paraId="0101EDF8" w14:textId="36C56E9F" w:rsidR="000056D1" w:rsidRPr="00124E79" w:rsidRDefault="00063B0F" w:rsidP="00124E79">
      <w:pPr>
        <w:spacing w:after="0" w:line="240" w:lineRule="auto"/>
        <w:jc w:val="both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>kölcsön igénybevétele történt meg. Egyik hitelcélhoz sem kerül lehívásra újabb összeg, a projektek megvalósítása befejeződött és a hitelek rendelkezésre</w:t>
      </w:r>
      <w:r w:rsidR="00F92FF8" w:rsidRPr="00124E79">
        <w:rPr>
          <w:rFonts w:ascii="Times New Roman" w:eastAsia="Calibri" w:hAnsi="Times New Roman" w:cs="Times New Roman"/>
          <w:lang w:eastAsia="hu-HU"/>
        </w:rPr>
        <w:t xml:space="preserve"> </w:t>
      </w:r>
      <w:r w:rsidRPr="00124E79">
        <w:rPr>
          <w:rFonts w:ascii="Times New Roman" w:eastAsia="Calibri" w:hAnsi="Times New Roman" w:cs="Times New Roman"/>
          <w:lang w:eastAsia="hu-HU"/>
        </w:rPr>
        <w:t>tartási ideje is lejárt.</w:t>
      </w:r>
    </w:p>
    <w:p w14:paraId="397BBEB6" w14:textId="77777777" w:rsidR="00A037C6" w:rsidRPr="00124E79" w:rsidRDefault="00A037C6" w:rsidP="00124E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2022. december 31. napján a fennálló hitelállomány 379,95 millió Ft. </w:t>
      </w:r>
    </w:p>
    <w:p w14:paraId="31BA33F7" w14:textId="77777777" w:rsidR="0092555B" w:rsidRPr="00124E79" w:rsidRDefault="0092555B" w:rsidP="00124E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13070E" w14:textId="17607062" w:rsidR="000056D1" w:rsidRPr="00124E79" w:rsidRDefault="000056D1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1" w:name="__DdeLink__425_2609349359"/>
      <w:bookmarkEnd w:id="1"/>
      <w:r w:rsidRPr="00124E79">
        <w:rPr>
          <w:rFonts w:ascii="Times New Roman" w:eastAsia="Times New Roman" w:hAnsi="Times New Roman" w:cs="Times New Roman"/>
          <w:lang w:eastAsia="hu-HU"/>
        </w:rPr>
        <w:t>Az adósságot keletkeztető hitelügyletek alakulása a következő:</w:t>
      </w:r>
    </w:p>
    <w:p w14:paraId="0BDDF785" w14:textId="557720FF" w:rsidR="001F7193" w:rsidRPr="00124E79" w:rsidRDefault="001F7193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BC8948C" w14:textId="391DDFEA" w:rsidR="001F7193" w:rsidRPr="00124E79" w:rsidRDefault="001F7193" w:rsidP="00124E7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24E79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CF32539" wp14:editId="628C3EA9">
            <wp:extent cx="6120130" cy="1367627"/>
            <wp:effectExtent l="0" t="0" r="0" b="444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27442" w14:textId="77777777" w:rsidR="000056D1" w:rsidRPr="00124E79" w:rsidRDefault="000056D1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32FAEB" w14:textId="6FE86B95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Times New Roman" w:hAnsi="Times New Roman" w:cs="Times New Roman"/>
          <w:lang w:eastAsia="hu-HU"/>
        </w:rPr>
        <w:t xml:space="preserve">A megkötött hitelszerződésekhez kapcsolódóan 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>Önkormányzat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 rendelkezik „Szerződés ingatlant terhelő jelzálogjog alapításáról (több jogviszony biztosítására)” tárgyú szerződéssel, </w:t>
      </w:r>
      <w:r w:rsidR="0092555B" w:rsidRPr="00124E79">
        <w:rPr>
          <w:rFonts w:ascii="Times New Roman" w:eastAsia="Times New Roman" w:hAnsi="Times New Roman" w:cs="Times New Roman"/>
          <w:lang w:eastAsia="hu-HU"/>
        </w:rPr>
        <w:t>a</w:t>
      </w:r>
      <w:r w:rsidRPr="00124E79">
        <w:rPr>
          <w:rFonts w:ascii="Times New Roman" w:eastAsia="Times New Roman" w:hAnsi="Times New Roman" w:cs="Times New Roman"/>
          <w:lang w:eastAsia="hu-HU"/>
        </w:rPr>
        <w:t>melyben a Kiskőrös belterület hrsz. 2418 (természetben Ko</w:t>
      </w:r>
      <w:r w:rsidR="00AD5876" w:rsidRPr="00124E79">
        <w:rPr>
          <w:rFonts w:ascii="Times New Roman" w:eastAsia="Times New Roman" w:hAnsi="Times New Roman" w:cs="Times New Roman"/>
          <w:lang w:eastAsia="hu-HU"/>
        </w:rPr>
        <w:t>ssuth Lajos u. 41.) ingatlan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 egyetemleges jelzálogjog valamint elidegenítési és terhelési tilalom alapításáról rendelkezik 580 millió Ft keretösszeg erejéig. Fedezet továbbá a lakosság által az </w:t>
      </w:r>
      <w:r w:rsidRPr="00124E79">
        <w:rPr>
          <w:rFonts w:ascii="Times New Roman" w:eastAsia="Times New Roman" w:hAnsi="Times New Roman" w:cs="Times New Roman"/>
          <w:i/>
          <w:iCs/>
          <w:lang w:eastAsia="hu-HU"/>
        </w:rPr>
        <w:t>Önkormányzat</w:t>
      </w:r>
      <w:r w:rsidRPr="00124E79">
        <w:rPr>
          <w:rFonts w:ascii="Times New Roman" w:eastAsia="Times New Roman" w:hAnsi="Times New Roman" w:cs="Times New Roman"/>
          <w:lang w:eastAsia="hu-HU"/>
        </w:rPr>
        <w:t>ra engedményezett lakás-előtakarékossági szerződéseken alapított követelést terhelő jelzálogjog 80 millió Ft tőkeösszeg és járulékai erejéig.</w:t>
      </w:r>
    </w:p>
    <w:p w14:paraId="5AD0D56C" w14:textId="77777777" w:rsidR="000056D1" w:rsidRPr="00124E79" w:rsidRDefault="000056D1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8987816" w14:textId="72BBE8A6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Calibri" w:hAnsi="Times New Roman" w:cs="Times New Roman"/>
        </w:rPr>
        <w:t xml:space="preserve">A </w:t>
      </w:r>
      <w:r w:rsidRPr="00124E79">
        <w:rPr>
          <w:rFonts w:ascii="Times New Roman" w:eastAsia="Calibri" w:hAnsi="Times New Roman" w:cs="Times New Roman"/>
          <w:i/>
        </w:rPr>
        <w:t>számvitelről</w:t>
      </w:r>
      <w:r w:rsidRPr="00124E79">
        <w:rPr>
          <w:rFonts w:ascii="Times New Roman" w:eastAsia="Calibri" w:hAnsi="Times New Roman" w:cs="Times New Roman"/>
        </w:rPr>
        <w:t xml:space="preserve"> szóló 2000. évi C. törvény 60. §-ban foglaltak alapján szükséges elszámolni a mérlegfordulónapi értékeléshez kapcsolódóan a külföldi pénzértékre szóló eszközöket, kötelezettségeket. 202</w:t>
      </w:r>
      <w:r w:rsidR="0092555B" w:rsidRPr="00124E79">
        <w:rPr>
          <w:rFonts w:ascii="Times New Roman" w:eastAsia="Calibri" w:hAnsi="Times New Roman" w:cs="Times New Roman"/>
        </w:rPr>
        <w:t>2</w:t>
      </w:r>
      <w:r w:rsidRPr="00124E79">
        <w:rPr>
          <w:rFonts w:ascii="Times New Roman" w:eastAsia="Calibri" w:hAnsi="Times New Roman" w:cs="Times New Roman"/>
        </w:rPr>
        <w:t xml:space="preserve">. december 31. napján az </w:t>
      </w:r>
      <w:r w:rsidRPr="00124E79">
        <w:rPr>
          <w:rFonts w:ascii="Times New Roman" w:eastAsia="Calibri" w:hAnsi="Times New Roman" w:cs="Times New Roman"/>
          <w:i/>
          <w:iCs/>
        </w:rPr>
        <w:t>Önkormányzat</w:t>
      </w:r>
      <w:r w:rsidRPr="00124E79">
        <w:rPr>
          <w:rFonts w:ascii="Times New Roman" w:eastAsia="Calibri" w:hAnsi="Times New Roman" w:cs="Times New Roman"/>
        </w:rPr>
        <w:t>nak devizában sem eszköze, sem kötelezettsége nem volt.</w:t>
      </w:r>
    </w:p>
    <w:p w14:paraId="2C43B464" w14:textId="77777777" w:rsidR="008D7B2F" w:rsidRPr="00124E79" w:rsidRDefault="008D7B2F" w:rsidP="00124E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C6C3659" w14:textId="29B76BBC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Calibri" w:hAnsi="Times New Roman" w:cs="Times New Roman"/>
        </w:rPr>
        <w:t xml:space="preserve">Az </w:t>
      </w:r>
      <w:r w:rsidRPr="00124E79">
        <w:rPr>
          <w:rFonts w:ascii="Times New Roman" w:eastAsia="Calibri" w:hAnsi="Times New Roman" w:cs="Times New Roman"/>
          <w:i/>
        </w:rPr>
        <w:t>Önkormányzat</w:t>
      </w:r>
      <w:r w:rsidRPr="00124E79">
        <w:rPr>
          <w:rFonts w:ascii="Times New Roman" w:eastAsia="Calibri" w:hAnsi="Times New Roman" w:cs="Times New Roman"/>
        </w:rPr>
        <w:t xml:space="preserve"> </w:t>
      </w:r>
      <w:r w:rsidRPr="00124E79">
        <w:rPr>
          <w:rFonts w:ascii="Times New Roman" w:eastAsia="Calibri" w:hAnsi="Times New Roman" w:cs="Times New Roman"/>
          <w:b/>
        </w:rPr>
        <w:t>pénzeszközeinek</w:t>
      </w:r>
      <w:r w:rsidRPr="00124E79">
        <w:rPr>
          <w:rFonts w:ascii="Times New Roman" w:eastAsia="Calibri" w:hAnsi="Times New Roman" w:cs="Times New Roman"/>
        </w:rPr>
        <w:t xml:space="preserve"> változása </w:t>
      </w:r>
      <w:r w:rsidR="00926AF9" w:rsidRPr="00124E79">
        <w:rPr>
          <w:rFonts w:ascii="Times New Roman" w:eastAsia="Calibri" w:hAnsi="Times New Roman" w:cs="Times New Roman"/>
        </w:rPr>
        <w:t>(</w:t>
      </w:r>
      <w:r w:rsidR="00205470" w:rsidRPr="00124E79">
        <w:rPr>
          <w:rFonts w:ascii="Times New Roman" w:eastAsia="Calibri" w:hAnsi="Times New Roman" w:cs="Times New Roman"/>
        </w:rPr>
        <w:t xml:space="preserve">rendelet-tervezet </w:t>
      </w:r>
      <w:r w:rsidR="00926AF9" w:rsidRPr="00124E79">
        <w:rPr>
          <w:rFonts w:ascii="Times New Roman" w:eastAsia="Calibri" w:hAnsi="Times New Roman" w:cs="Times New Roman"/>
        </w:rPr>
        <w:t>13. és 14.</w:t>
      </w:r>
      <w:r w:rsidR="00DA1E82" w:rsidRPr="00124E79">
        <w:rPr>
          <w:rFonts w:ascii="Times New Roman" w:eastAsia="Calibri" w:hAnsi="Times New Roman" w:cs="Times New Roman"/>
        </w:rPr>
        <w:t xml:space="preserve"> mellékletek C) pontjai) </w:t>
      </w:r>
      <w:r w:rsidRPr="00124E79">
        <w:rPr>
          <w:rFonts w:ascii="Times New Roman" w:eastAsia="Calibri" w:hAnsi="Times New Roman" w:cs="Times New Roman"/>
        </w:rPr>
        <w:t xml:space="preserve">a következő: </w:t>
      </w:r>
    </w:p>
    <w:p w14:paraId="1E6DBBE4" w14:textId="5FF08651" w:rsidR="00325868" w:rsidRPr="00124E79" w:rsidRDefault="0004485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Calibri" w:hAnsi="Times New Roman" w:cs="Times New Roman"/>
        </w:rPr>
        <w:t xml:space="preserve">-  </w:t>
      </w:r>
      <w:r w:rsidRPr="00124E79">
        <w:rPr>
          <w:rFonts w:ascii="Times New Roman" w:eastAsia="Calibri" w:hAnsi="Times New Roman" w:cs="Times New Roman"/>
          <w:color w:val="FF0000"/>
        </w:rPr>
        <w:t xml:space="preserve"> </w:t>
      </w:r>
      <w:r w:rsidRPr="00124E79">
        <w:rPr>
          <w:rFonts w:ascii="Times New Roman" w:eastAsia="Calibri" w:hAnsi="Times New Roman" w:cs="Times New Roman"/>
        </w:rPr>
        <w:t>202</w:t>
      </w:r>
      <w:r w:rsidR="0092555B" w:rsidRPr="00124E79">
        <w:rPr>
          <w:rFonts w:ascii="Times New Roman" w:eastAsia="Calibri" w:hAnsi="Times New Roman" w:cs="Times New Roman"/>
        </w:rPr>
        <w:t>2</w:t>
      </w:r>
      <w:r w:rsidR="00325868" w:rsidRPr="00124E79">
        <w:rPr>
          <w:rFonts w:ascii="Times New Roman" w:eastAsia="Calibri" w:hAnsi="Times New Roman" w:cs="Times New Roman"/>
        </w:rPr>
        <w:t xml:space="preserve">.12.31.: </w:t>
      </w:r>
      <w:r w:rsidRPr="00124E79">
        <w:rPr>
          <w:rFonts w:ascii="Times New Roman" w:eastAsia="Calibri" w:hAnsi="Times New Roman" w:cs="Times New Roman"/>
        </w:rPr>
        <w:t xml:space="preserve">   </w:t>
      </w:r>
      <w:r w:rsidR="0092555B" w:rsidRPr="00124E79">
        <w:rPr>
          <w:rFonts w:ascii="Times New Roman" w:eastAsia="Calibri" w:hAnsi="Times New Roman" w:cs="Times New Roman"/>
        </w:rPr>
        <w:t>818.894.665</w:t>
      </w:r>
      <w:r w:rsidR="00325868" w:rsidRPr="00124E79">
        <w:rPr>
          <w:rFonts w:ascii="Times New Roman" w:eastAsia="Calibri" w:hAnsi="Times New Roman" w:cs="Times New Roman"/>
        </w:rPr>
        <w:t>,- Ft</w:t>
      </w:r>
      <w:r w:rsidR="00AD73B9" w:rsidRPr="00124E79">
        <w:rPr>
          <w:rFonts w:ascii="Times New Roman" w:eastAsia="Times New Roman" w:hAnsi="Times New Roman" w:cs="Times New Roman"/>
          <w:smallCaps/>
          <w:lang w:eastAsia="zh-CN"/>
        </w:rPr>
        <w:t xml:space="preserve">                                    </w:t>
      </w:r>
      <w:r w:rsidR="005C2898" w:rsidRPr="00124E79">
        <w:rPr>
          <w:rFonts w:ascii="Times New Roman" w:eastAsia="Calibri" w:hAnsi="Times New Roman" w:cs="Times New Roman"/>
        </w:rPr>
        <w:t>-   2021</w:t>
      </w:r>
      <w:r w:rsidR="00325868" w:rsidRPr="00124E79">
        <w:rPr>
          <w:rFonts w:ascii="Times New Roman" w:eastAsia="Calibri" w:hAnsi="Times New Roman" w:cs="Times New Roman"/>
        </w:rPr>
        <w:t xml:space="preserve">.12.31.: </w:t>
      </w:r>
      <w:r w:rsidR="00450CF2" w:rsidRPr="00124E79">
        <w:rPr>
          <w:rFonts w:ascii="Times New Roman" w:eastAsia="Calibri" w:hAnsi="Times New Roman" w:cs="Times New Roman"/>
        </w:rPr>
        <w:t>1.016.966.139</w:t>
      </w:r>
      <w:r w:rsidR="00325868" w:rsidRPr="00124E79">
        <w:rPr>
          <w:rFonts w:ascii="Times New Roman" w:eastAsia="Calibri" w:hAnsi="Times New Roman" w:cs="Times New Roman"/>
        </w:rPr>
        <w:t>,- Ft.</w:t>
      </w:r>
    </w:p>
    <w:p w14:paraId="6CE94A74" w14:textId="77777777" w:rsidR="0092555B" w:rsidRPr="00124E79" w:rsidRDefault="0092555B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5EF8FC19" w14:textId="63539B04" w:rsidR="00044857" w:rsidRPr="00124E79" w:rsidRDefault="0092555B" w:rsidP="00124E7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24E79">
        <w:rPr>
          <w:rFonts w:ascii="Times New Roman" w:eastAsia="Times New Roman" w:hAnsi="Times New Roman" w:cs="Times New Roman"/>
          <w:smallCaps/>
          <w:lang w:eastAsia="zh-CN"/>
        </w:rPr>
        <w:t>J</w:t>
      </w:r>
      <w:r w:rsidR="004D5245" w:rsidRPr="00124E79">
        <w:rPr>
          <w:rFonts w:ascii="Times New Roman" w:eastAsia="Calibri" w:hAnsi="Times New Roman" w:cs="Times New Roman"/>
        </w:rPr>
        <w:t xml:space="preserve">elentős a </w:t>
      </w:r>
      <w:r w:rsidRPr="00124E79">
        <w:rPr>
          <w:rFonts w:ascii="Times New Roman" w:eastAsia="Calibri" w:hAnsi="Times New Roman" w:cs="Times New Roman"/>
        </w:rPr>
        <w:t>csökken</w:t>
      </w:r>
      <w:r w:rsidR="0062413C" w:rsidRPr="00124E79">
        <w:rPr>
          <w:rFonts w:ascii="Times New Roman" w:eastAsia="Calibri" w:hAnsi="Times New Roman" w:cs="Times New Roman"/>
        </w:rPr>
        <w:t xml:space="preserve">és: </w:t>
      </w:r>
      <w:r w:rsidRPr="00124E79">
        <w:rPr>
          <w:rFonts w:ascii="Times New Roman" w:eastAsia="Calibri" w:hAnsi="Times New Roman" w:cs="Times New Roman"/>
        </w:rPr>
        <w:t>198</w:t>
      </w:r>
      <w:r w:rsidR="0062413C" w:rsidRPr="00124E79">
        <w:rPr>
          <w:rFonts w:ascii="Times New Roman" w:eastAsia="Calibri" w:hAnsi="Times New Roman" w:cs="Times New Roman"/>
        </w:rPr>
        <w:t xml:space="preserve"> millió</w:t>
      </w:r>
      <w:r w:rsidR="00044857" w:rsidRPr="00124E79">
        <w:rPr>
          <w:rFonts w:ascii="Times New Roman" w:eastAsia="Calibri" w:hAnsi="Times New Roman" w:cs="Times New Roman"/>
        </w:rPr>
        <w:t xml:space="preserve"> Ft, amely többségében a </w:t>
      </w:r>
      <w:r w:rsidR="0062413C" w:rsidRPr="00124E79">
        <w:rPr>
          <w:rFonts w:ascii="Times New Roman" w:eastAsia="Calibri" w:hAnsi="Times New Roman" w:cs="Times New Roman"/>
          <w:i/>
        </w:rPr>
        <w:t>Kincstáron kívüli</w:t>
      </w:r>
      <w:r w:rsidR="00044857" w:rsidRPr="00124E79">
        <w:rPr>
          <w:rFonts w:ascii="Times New Roman" w:eastAsia="Calibri" w:hAnsi="Times New Roman" w:cs="Times New Roman"/>
          <w:i/>
        </w:rPr>
        <w:t xml:space="preserve"> számlákon</w:t>
      </w:r>
      <w:r w:rsidR="00044857" w:rsidRPr="00124E79">
        <w:rPr>
          <w:rFonts w:ascii="Times New Roman" w:eastAsia="Calibri" w:hAnsi="Times New Roman" w:cs="Times New Roman"/>
        </w:rPr>
        <w:t xml:space="preserve"> történt (</w:t>
      </w:r>
      <w:r w:rsidRPr="00124E79">
        <w:rPr>
          <w:rFonts w:ascii="Times New Roman" w:eastAsia="Calibri" w:hAnsi="Times New Roman" w:cs="Times New Roman"/>
        </w:rPr>
        <w:t>záró</w:t>
      </w:r>
      <w:r w:rsidR="00044857" w:rsidRPr="00124E79">
        <w:rPr>
          <w:rFonts w:ascii="Times New Roman" w:eastAsia="Calibri" w:hAnsi="Times New Roman" w:cs="Times New Roman"/>
        </w:rPr>
        <w:t xml:space="preserve"> é</w:t>
      </w:r>
      <w:r w:rsidR="0062413C" w:rsidRPr="00124E79">
        <w:rPr>
          <w:rFonts w:ascii="Times New Roman" w:eastAsia="Calibri" w:hAnsi="Times New Roman" w:cs="Times New Roman"/>
        </w:rPr>
        <w:t xml:space="preserve">rték: </w:t>
      </w:r>
      <w:r w:rsidRPr="00124E79">
        <w:rPr>
          <w:rFonts w:ascii="Times New Roman" w:eastAsia="Calibri" w:hAnsi="Times New Roman" w:cs="Times New Roman"/>
        </w:rPr>
        <w:t>380</w:t>
      </w:r>
      <w:r w:rsidR="0062413C" w:rsidRPr="00124E79">
        <w:rPr>
          <w:rFonts w:ascii="Times New Roman" w:eastAsia="Calibri" w:hAnsi="Times New Roman" w:cs="Times New Roman"/>
        </w:rPr>
        <w:t xml:space="preserve"> millió Ft, a </w:t>
      </w:r>
      <w:r w:rsidRPr="00124E79">
        <w:rPr>
          <w:rFonts w:ascii="Times New Roman" w:eastAsia="Calibri" w:hAnsi="Times New Roman" w:cs="Times New Roman"/>
        </w:rPr>
        <w:t>nyitó</w:t>
      </w:r>
      <w:r w:rsidR="0062413C" w:rsidRPr="00124E79">
        <w:rPr>
          <w:rFonts w:ascii="Times New Roman" w:eastAsia="Calibri" w:hAnsi="Times New Roman" w:cs="Times New Roman"/>
        </w:rPr>
        <w:t xml:space="preserve"> érték: 563</w:t>
      </w:r>
      <w:r w:rsidR="004E7912" w:rsidRPr="00124E79">
        <w:rPr>
          <w:rFonts w:ascii="Times New Roman" w:eastAsia="Calibri" w:hAnsi="Times New Roman" w:cs="Times New Roman"/>
        </w:rPr>
        <w:t xml:space="preserve"> millió Ft</w:t>
      </w:r>
      <w:r w:rsidR="00044857" w:rsidRPr="00124E79">
        <w:rPr>
          <w:rFonts w:ascii="Times New Roman" w:eastAsia="Calibri" w:hAnsi="Times New Roman" w:cs="Times New Roman"/>
        </w:rPr>
        <w:t xml:space="preserve">). </w:t>
      </w:r>
    </w:p>
    <w:p w14:paraId="4C2B85DF" w14:textId="77777777" w:rsidR="0092555B" w:rsidRPr="00124E79" w:rsidRDefault="0092555B" w:rsidP="00124E7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22C875" w14:textId="196ED69A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Calibri" w:hAnsi="Times New Roman" w:cs="Times New Roman"/>
        </w:rPr>
        <w:t xml:space="preserve">A projektekhez rendelkezésre álló támogatások átmenetileg sem helyezhetők el semmilyen befektetésben. </w:t>
      </w:r>
    </w:p>
    <w:p w14:paraId="3C71150F" w14:textId="6F1117EC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1B125" w14:textId="77777777" w:rsidR="000056D1" w:rsidRPr="00124E79" w:rsidRDefault="000056D1" w:rsidP="00124E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4E79">
        <w:rPr>
          <w:rFonts w:ascii="Times New Roman" w:eastAsia="Calibri" w:hAnsi="Times New Roman" w:cs="Times New Roman"/>
        </w:rPr>
        <w:t xml:space="preserve">A rendelkezésre álló felhalmozási forrás már a saját adóbevételekből működésre fel nem használt bevételekből származik. </w:t>
      </w:r>
    </w:p>
    <w:p w14:paraId="4835CA55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19735C59" w14:textId="5A7FC373" w:rsidR="000B7BF3" w:rsidRPr="00124E79" w:rsidRDefault="00F415EA" w:rsidP="00124E79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8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A vagyon alakulása</w:t>
      </w:r>
    </w:p>
    <w:p w14:paraId="19252F63" w14:textId="738DD716" w:rsidR="000B7BF3" w:rsidRPr="00124E79" w:rsidRDefault="000B7BF3" w:rsidP="00124E79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lang w:eastAsia="hu-HU"/>
        </w:rPr>
        <w:t>Az egyszerűsített mérleg-főösszege:</w:t>
      </w:r>
    </w:p>
    <w:p w14:paraId="23815105" w14:textId="77777777" w:rsidR="00BE5161" w:rsidRPr="00124E79" w:rsidRDefault="00BE5161" w:rsidP="00124E79">
      <w:pPr>
        <w:spacing w:after="0" w:line="240" w:lineRule="auto"/>
        <w:rPr>
          <w:rFonts w:ascii="Times New Roman" w:eastAsia="Calibri" w:hAnsi="Times New Roman" w:cs="Times New Roman"/>
          <w:bCs/>
          <w:lang w:eastAsia="hu-HU"/>
        </w:rPr>
      </w:pPr>
    </w:p>
    <w:p w14:paraId="429798D8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ab/>
        <w:t>2021.12.31.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15.295.830.178. – Ft </w:t>
      </w:r>
    </w:p>
    <w:p w14:paraId="4CCF72EE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124E79">
        <w:rPr>
          <w:rFonts w:ascii="Times New Roman" w:eastAsia="Calibri" w:hAnsi="Times New Roman" w:cs="Times New Roman"/>
          <w:lang w:eastAsia="hu-HU"/>
        </w:rPr>
        <w:tab/>
        <w:t>2022.12.31.</w:t>
      </w:r>
      <w:r w:rsidRPr="00124E79">
        <w:rPr>
          <w:rFonts w:ascii="Times New Roman" w:eastAsia="Calibri" w:hAnsi="Times New Roman" w:cs="Times New Roman"/>
          <w:lang w:eastAsia="hu-HU"/>
        </w:rPr>
        <w:tab/>
        <w:t xml:space="preserve">15.853.665.423. – Ft </w:t>
      </w:r>
    </w:p>
    <w:p w14:paraId="4D78F3D8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rPr>
          <w:rFonts w:ascii="Times New Roman" w:eastAsia="Calibri" w:hAnsi="Times New Roman" w:cs="Times New Roman"/>
          <w:b/>
          <w:bCs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lang w:eastAsia="hu-HU"/>
        </w:rPr>
        <w:t>Növekedés 2022. évben:</w:t>
      </w:r>
      <w:r w:rsidRPr="00124E79">
        <w:rPr>
          <w:rFonts w:ascii="Times New Roman" w:eastAsia="Calibri" w:hAnsi="Times New Roman" w:cs="Times New Roman"/>
          <w:b/>
          <w:bCs/>
          <w:lang w:eastAsia="hu-HU"/>
        </w:rPr>
        <w:tab/>
        <w:t xml:space="preserve">557.835.245. – Ft </w:t>
      </w:r>
    </w:p>
    <w:p w14:paraId="342F8813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lang w:eastAsia="hu-HU"/>
        </w:rPr>
        <w:t>A Nemzeti vagyonba tartozó befektetett eszközök eszközcsoporton belül az Immateriális javak, és Tárgyi eszközök értékváltozása 2022. évben:</w:t>
      </w:r>
    </w:p>
    <w:p w14:paraId="1E841C3E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lastRenderedPageBreak/>
        <w:t xml:space="preserve">Az </w:t>
      </w:r>
      <w:r w:rsidRPr="00124E79">
        <w:rPr>
          <w:rFonts w:ascii="Times New Roman" w:eastAsia="Calibri" w:hAnsi="Times New Roman" w:cs="Times New Roman"/>
          <w:b/>
          <w:bCs/>
          <w:color w:val="000000"/>
          <w:u w:val="single"/>
          <w:lang w:eastAsia="hu-HU"/>
        </w:rPr>
        <w:t>immateriális javak</w:t>
      </w: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 esetében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2022. évben a bruttó értéket tekintve összességében 3.554 ezer forint összegű csökkenés jelentkezett. Nagyobb beruházás ez év folyamán nem történt. </w:t>
      </w:r>
    </w:p>
    <w:p w14:paraId="4D3C3A1C" w14:textId="372AE895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Az immateriális eszközök nettó értékét a 2022. évben elszámolt értékcsökkenés </w:t>
      </w:r>
      <w:r w:rsidRPr="00124E79">
        <w:rPr>
          <w:rFonts w:ascii="Times New Roman" w:eastAsia="Calibri" w:hAnsi="Times New Roman" w:cs="Times New Roman"/>
          <w:lang w:eastAsia="hu-HU"/>
        </w:rPr>
        <w:t>3 954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ezer forinttal változtatta.</w:t>
      </w:r>
    </w:p>
    <w:p w14:paraId="04297513" w14:textId="77777777" w:rsidR="00504926" w:rsidRPr="00124E79" w:rsidRDefault="00504926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14:paraId="1A8E17DF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>2021. 12.31.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6.723.328. – Ft </w:t>
      </w:r>
    </w:p>
    <w:p w14:paraId="5836755E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>2022.12.31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3.169.191. – Ft </w:t>
      </w:r>
    </w:p>
    <w:p w14:paraId="3C416932" w14:textId="45D193D4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lang w:eastAsia="hu-HU"/>
        </w:rPr>
        <w:t>Csökkenés: 2022. évben:</w:t>
      </w:r>
      <w:r w:rsidRPr="00124E79">
        <w:rPr>
          <w:rFonts w:ascii="Times New Roman" w:eastAsia="Calibri" w:hAnsi="Times New Roman" w:cs="Times New Roman"/>
          <w:b/>
          <w:bCs/>
          <w:lang w:eastAsia="hu-HU"/>
        </w:rPr>
        <w:tab/>
        <w:t>3.554.137. – Ft</w:t>
      </w:r>
    </w:p>
    <w:p w14:paraId="14210FC0" w14:textId="77777777" w:rsidR="00504926" w:rsidRPr="00124E79" w:rsidRDefault="00504926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</w:p>
    <w:p w14:paraId="346D7908" w14:textId="74413F7F" w:rsidR="000B7BF3" w:rsidRPr="00124E79" w:rsidRDefault="000B7BF3" w:rsidP="00124E79">
      <w:pPr>
        <w:tabs>
          <w:tab w:val="left" w:pos="1701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A </w:t>
      </w:r>
      <w:r w:rsidRPr="00124E79">
        <w:rPr>
          <w:rFonts w:ascii="Times New Roman" w:eastAsia="Calibri" w:hAnsi="Times New Roman" w:cs="Times New Roman"/>
          <w:b/>
          <w:bCs/>
          <w:color w:val="000000"/>
          <w:u w:val="single"/>
          <w:lang w:eastAsia="hu-HU"/>
        </w:rPr>
        <w:t>tárgyi eszközök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nettó értéke esetében nagyobb mértékű növekedés jelentkezik,</w:t>
      </w:r>
    </w:p>
    <w:p w14:paraId="062DF3BC" w14:textId="77777777" w:rsidR="00504926" w:rsidRPr="00124E79" w:rsidRDefault="00504926" w:rsidP="00124E79">
      <w:pPr>
        <w:tabs>
          <w:tab w:val="left" w:pos="1701"/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14:paraId="66C907E3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2021. 12.31. 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12.806.169.943. – Ft </w:t>
      </w:r>
    </w:p>
    <w:p w14:paraId="49408374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>2022.12.31.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13.514.089.128. – Ft </w:t>
      </w:r>
    </w:p>
    <w:p w14:paraId="4AFFD9DF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>Növekedés 2022. évben:</w:t>
      </w: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ab/>
        <w:t xml:space="preserve"> 707.919.185. – Ft </w:t>
      </w:r>
    </w:p>
    <w:p w14:paraId="54562CF5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Térítésmentes átvétel hatására az ingatlanok értéke </w:t>
      </w:r>
      <w:r w:rsidRPr="00124E79">
        <w:rPr>
          <w:rFonts w:ascii="Times New Roman" w:eastAsia="Times New Roman" w:hAnsi="Times New Roman" w:cs="Times New Roman"/>
          <w:lang w:eastAsia="hu-HU"/>
        </w:rPr>
        <w:t>490 117 ezer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forinttal, míg az egyéb gépek, berendezések, felszerelések értéke </w:t>
      </w:r>
      <w:r w:rsidRPr="00124E79">
        <w:rPr>
          <w:rFonts w:ascii="Times New Roman" w:eastAsia="Times New Roman" w:hAnsi="Times New Roman" w:cs="Times New Roman"/>
          <w:bCs/>
          <w:lang w:eastAsia="hu-HU"/>
        </w:rPr>
        <w:t>20 357 ezer forinttal</w:t>
      </w:r>
      <w:r w:rsidRPr="00124E79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>emelkedett</w:t>
      </w:r>
    </w:p>
    <w:p w14:paraId="090790E5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14:paraId="024E4529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Egyéb gépek, berendezések, felszerelések esetében a kiselejtezett eszközök bruttó értéke 3.957 ezer forint volt. </w:t>
      </w:r>
    </w:p>
    <w:p w14:paraId="0FBFF091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>Az ingatlanok és tárgyi eszközök nettó értéke a 2022. évben az elszámolt értékcsökkenés következtében mindösszesen 533.815 ezer Ft-tal csökkent.</w:t>
      </w:r>
    </w:p>
    <w:p w14:paraId="517CA6C5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Az államháztartáson belül </w:t>
      </w:r>
      <w:r w:rsidRPr="00124E79">
        <w:rPr>
          <w:rFonts w:ascii="Times New Roman" w:eastAsia="Calibri" w:hAnsi="Times New Roman" w:cs="Times New Roman"/>
          <w:color w:val="000000"/>
          <w:u w:val="single"/>
          <w:lang w:eastAsia="hu-HU"/>
        </w:rPr>
        <w:t>vagyonkezelésre átadott tárgyi eszközök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bruttó értéke 1.345.869 ezer forintra csökkent, 6.604 ezer Ft értékű selejtezés miatt.</w:t>
      </w:r>
    </w:p>
    <w:p w14:paraId="3616B7F9" w14:textId="18855260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u w:val="single"/>
          <w:lang w:eastAsia="hu-HU"/>
        </w:rPr>
        <w:t>Folyamatban lévő beruházások, felújítások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 xml:space="preserve"> esetében is növekedés jelentkezik</w:t>
      </w:r>
    </w:p>
    <w:p w14:paraId="4DB5FA47" w14:textId="77777777" w:rsidR="00504926" w:rsidRPr="00124E79" w:rsidRDefault="00504926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p w14:paraId="209C8E38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>2021.12.31.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453.688.101. – Ft </w:t>
      </w:r>
    </w:p>
    <w:p w14:paraId="3108CE1D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>2022.12.31.</w:t>
      </w:r>
      <w:r w:rsidRPr="00124E79">
        <w:rPr>
          <w:rFonts w:ascii="Times New Roman" w:eastAsia="Calibri" w:hAnsi="Times New Roman" w:cs="Times New Roman"/>
          <w:color w:val="000000"/>
          <w:lang w:eastAsia="hu-HU"/>
        </w:rPr>
        <w:tab/>
        <w:t xml:space="preserve">460.844.299. – Ft </w:t>
      </w:r>
    </w:p>
    <w:p w14:paraId="39D80B39" w14:textId="77777777" w:rsidR="000B7BF3" w:rsidRPr="00124E79" w:rsidRDefault="000B7BF3" w:rsidP="00124E79">
      <w:pPr>
        <w:tabs>
          <w:tab w:val="left" w:pos="1701"/>
          <w:tab w:val="right" w:pos="680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Növekedés 2021. évben: </w:t>
      </w: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ab/>
        <w:t xml:space="preserve">7.156.198. – Ft </w:t>
      </w:r>
    </w:p>
    <w:p w14:paraId="303357A2" w14:textId="77777777" w:rsidR="000B7BF3" w:rsidRPr="00124E79" w:rsidRDefault="000B7BF3" w:rsidP="00124E7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2022 – </w:t>
      </w:r>
      <w:proofErr w:type="spellStart"/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>ben</w:t>
      </w:r>
      <w:proofErr w:type="spellEnd"/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 folyamatban lévő beruházások, felújítások</w:t>
      </w:r>
    </w:p>
    <w:p w14:paraId="3CB5B818" w14:textId="77777777" w:rsidR="000B7BF3" w:rsidRPr="00124E79" w:rsidRDefault="000B7BF3" w:rsidP="00124E79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lang w:eastAsia="hu-HU"/>
        </w:rPr>
      </w:pPr>
    </w:p>
    <w:tbl>
      <w:tblPr>
        <w:tblW w:w="939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88"/>
      </w:tblGrid>
      <w:tr w:rsidR="000B7BF3" w:rsidRPr="00124E79" w14:paraId="60F02453" w14:textId="77777777" w:rsidTr="00BB1B90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4D2F" w14:textId="77777777" w:rsidR="000B7BF3" w:rsidRPr="00124E79" w:rsidRDefault="000B7BF3" w:rsidP="0012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Beruházás megnevezés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BD17" w14:textId="77777777" w:rsidR="000B7BF3" w:rsidRPr="00124E79" w:rsidRDefault="000B7BF3" w:rsidP="0012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Összeg </w:t>
            </w:r>
          </w:p>
        </w:tc>
      </w:tr>
      <w:tr w:rsidR="000B7BF3" w:rsidRPr="00124E79" w14:paraId="3D23254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5F7D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Befejezett víziközmű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285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300 000 Ft </w:t>
            </w:r>
          </w:p>
        </w:tc>
      </w:tr>
      <w:tr w:rsidR="000B7BF3" w:rsidRPr="00124E79" w14:paraId="344FC59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8570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KEHOP-2.1.11-VIZIKÖZMŰ HÁLÓZATOK ÁTALAKÍTÁSA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C41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2 995 000 Ft </w:t>
            </w:r>
          </w:p>
        </w:tc>
      </w:tr>
      <w:tr w:rsidR="000B7BF3" w:rsidRPr="00124E79" w14:paraId="5568523A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9827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Kézilabda csarnok építése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04C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19 373 000 Ft </w:t>
            </w:r>
          </w:p>
        </w:tc>
      </w:tr>
      <w:tr w:rsidR="000B7BF3" w:rsidRPr="00124E79" w14:paraId="4F2E7F10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6D6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Petőfi Sétány, Petőfi Park, Magyarok Parkja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360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7 900 000 Ft </w:t>
            </w:r>
          </w:p>
        </w:tc>
      </w:tr>
      <w:tr w:rsidR="000B7BF3" w:rsidRPr="00124E79" w14:paraId="041E231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5E75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TOP_Plusz-1.1.1.-21 Helyi gazdaságfejlesztés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7994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1 150 000 Ft </w:t>
            </w:r>
          </w:p>
        </w:tc>
      </w:tr>
      <w:tr w:rsidR="000B7BF3" w:rsidRPr="00124E79" w14:paraId="5D5CB4BD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159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TOP-1.1.1-16-BK1-2020-00029 IPARI TERÜLET FEJLESZTÉSE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CD3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91 426 460 Ft </w:t>
            </w:r>
          </w:p>
        </w:tc>
      </w:tr>
      <w:tr w:rsidR="000B7BF3" w:rsidRPr="00124E79" w14:paraId="1895B5A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A21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TOP-3.1.1-16 Kerékpárút Kiskőrös-Tabdi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D1C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51 074 461 Ft </w:t>
            </w:r>
          </w:p>
        </w:tc>
      </w:tr>
      <w:tr w:rsidR="000B7BF3" w:rsidRPr="00124E79" w14:paraId="6855268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ADC0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TOP-3.2.2-15 Biomassza erőmű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7AE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8 719 250 Ft </w:t>
            </w:r>
          </w:p>
        </w:tc>
      </w:tr>
      <w:tr w:rsidR="000B7BF3" w:rsidRPr="00124E79" w14:paraId="73669769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890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TOP-4.3.1-15 - LEROMLOTT VÁROSI TERÜLETEK REHABILITÁCIÓJA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44D5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73 147 749 Ft </w:t>
            </w:r>
          </w:p>
        </w:tc>
      </w:tr>
      <w:tr w:rsidR="000B7BF3" w:rsidRPr="00124E79" w14:paraId="3CBB4F10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70C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Új hévízkút létesítése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8399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7 500 000 Ft </w:t>
            </w:r>
          </w:p>
        </w:tc>
      </w:tr>
      <w:tr w:rsidR="000B7BF3" w:rsidRPr="00124E79" w14:paraId="26823A25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16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VÁROSI SPORTTELEP FEJLESZTÉSE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A01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166 730 315 Ft </w:t>
            </w:r>
          </w:p>
        </w:tc>
      </w:tr>
      <w:tr w:rsidR="000B7BF3" w:rsidRPr="00124E79" w14:paraId="6555213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6239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Önkormányzati beruházások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1B2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30 528 064 Ft </w:t>
            </w:r>
          </w:p>
        </w:tc>
      </w:tr>
      <w:tr w:rsidR="000B7BF3" w:rsidRPr="00124E79" w14:paraId="4D992227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7A6E7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Mindösszesen: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ABA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460 844 299 Ft </w:t>
            </w:r>
          </w:p>
        </w:tc>
      </w:tr>
      <w:tr w:rsidR="000B7BF3" w:rsidRPr="00124E79" w14:paraId="433C0BAC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01A3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BA1D4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0B7BF3" w:rsidRPr="00124E79" w14:paraId="0D3A3329" w14:textId="77777777" w:rsidTr="00BB1B90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8E2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Önkormányzati beruházások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C27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  30 528 064 Ft </w:t>
            </w:r>
          </w:p>
        </w:tc>
      </w:tr>
      <w:tr w:rsidR="000B7BF3" w:rsidRPr="00124E79" w14:paraId="39E4DF79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51A9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Camping szociális célú vizesblokk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88D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150 000 Ft </w:t>
            </w:r>
          </w:p>
        </w:tc>
      </w:tr>
      <w:tr w:rsidR="000B7BF3" w:rsidRPr="00124E79" w14:paraId="464B3013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FB5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Földutakon vízhálózat bővítés 0442; 0438 hrsz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6FB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310 000 Ft </w:t>
            </w:r>
          </w:p>
        </w:tc>
      </w:tr>
      <w:tr w:rsidR="000B7BF3" w:rsidRPr="00124E79" w14:paraId="1FC6A22C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2C4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KISKŐRÖS KÜLTERÜLET 0510/35 HRSZ ING. VÍZELLÁTÁSÁNAK VÍZJOGI ENG. TERVE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B445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200 000 Ft </w:t>
            </w:r>
          </w:p>
        </w:tc>
      </w:tr>
      <w:tr w:rsidR="000B7BF3" w:rsidRPr="00124E79" w14:paraId="7C5ED805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231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KISKŐRÖSI TENISZKLUB FEJLESZTÉSE - ELŐZETES KONCEPCIÓTERV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F5AD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900 000 Ft </w:t>
            </w:r>
          </w:p>
        </w:tc>
      </w:tr>
      <w:tr w:rsidR="000B7BF3" w:rsidRPr="00124E79" w14:paraId="7514EE3D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206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Kollégium épület - FŐZŐKONYHA FELÚJÍTÁS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23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15 858 064 Ft </w:t>
            </w:r>
          </w:p>
        </w:tc>
      </w:tr>
      <w:tr w:rsidR="000B7BF3" w:rsidRPr="00124E79" w14:paraId="217209FA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8BD4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KÖZVILÁGÍTÁS KIVITELI ÉS ENGEDÉLYEZÉSI TERV - BUDAI NAGY ANTAL UTCA ÉS KŐRISFA UTCA KERESZTEZŐDÉSÉNÉL TERVEZETT GYALOGÁTKELŐHELY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0C9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420 000 Ft </w:t>
            </w:r>
          </w:p>
        </w:tc>
      </w:tr>
      <w:tr w:rsidR="000B7BF3" w:rsidRPr="00124E79" w14:paraId="47534C9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89F9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Külterület - mezőgazdasági </w:t>
            </w:r>
            <w:proofErr w:type="spellStart"/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hasznosítású</w:t>
            </w:r>
            <w:proofErr w:type="spellEnd"/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föld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DA3E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6 000 000 Ft </w:t>
            </w:r>
          </w:p>
        </w:tc>
      </w:tr>
      <w:tr w:rsidR="000B7BF3" w:rsidRPr="00124E79" w14:paraId="342CD90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045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Külterületi út - Diófa u. (1025m), 0526 hrsz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3F1C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1 870 000 Ft </w:t>
            </w:r>
          </w:p>
        </w:tc>
      </w:tr>
      <w:tr w:rsidR="000B7BF3" w:rsidRPr="00124E79" w14:paraId="52E9733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DA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Külterületi út - Mohácsi u. (410m), 0370 hrsz,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3B44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1 510 000 Ft </w:t>
            </w:r>
          </w:p>
        </w:tc>
      </w:tr>
      <w:tr w:rsidR="000B7BF3" w:rsidRPr="00124E79" w14:paraId="7837E248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260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Külterületi út - </w:t>
            </w:r>
            <w:proofErr w:type="spellStart"/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Seregélyesi</w:t>
            </w:r>
            <w:proofErr w:type="spellEnd"/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u. (181m), 0243 hrsz,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DB33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400 000 Ft </w:t>
            </w:r>
          </w:p>
        </w:tc>
      </w:tr>
      <w:tr w:rsidR="000B7BF3" w:rsidRPr="00124E79" w14:paraId="7DCBA9B6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B30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Mohácsi út vége (0370 hrsz) víz-és szennyvízbővítés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9A9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290 000 Ft </w:t>
            </w:r>
          </w:p>
        </w:tc>
      </w:tr>
      <w:tr w:rsidR="000B7BF3" w:rsidRPr="00124E79" w14:paraId="6106D4DA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B729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Petőfi Sándor Műv.központ épület - Színházterem légtechnika megtervezése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661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2 000 000 Ft </w:t>
            </w:r>
          </w:p>
        </w:tc>
      </w:tr>
      <w:tr w:rsidR="000B7BF3" w:rsidRPr="00124E79" w14:paraId="77F6EA81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8E2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Zarándokház terv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672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   620 000 Ft </w:t>
            </w:r>
          </w:p>
        </w:tc>
      </w:tr>
    </w:tbl>
    <w:p w14:paraId="568F3E90" w14:textId="77777777" w:rsidR="000B7BF3" w:rsidRPr="00124E79" w:rsidRDefault="000B7BF3" w:rsidP="00124E79">
      <w:pPr>
        <w:spacing w:after="0" w:line="240" w:lineRule="auto"/>
        <w:rPr>
          <w:rFonts w:ascii="Times New Roman" w:eastAsia="Calibri" w:hAnsi="Times New Roman" w:cs="Times New Roman"/>
          <w:color w:val="000000"/>
          <w:lang w:eastAsia="hu-HU"/>
        </w:rPr>
      </w:pPr>
    </w:p>
    <w:p w14:paraId="50600323" w14:textId="2D2CE3C4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lang w:eastAsia="hu-HU"/>
        </w:rPr>
      </w:pPr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2022 – </w:t>
      </w:r>
      <w:proofErr w:type="spellStart"/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>ben</w:t>
      </w:r>
      <w:proofErr w:type="spellEnd"/>
      <w:r w:rsidRPr="00124E79">
        <w:rPr>
          <w:rFonts w:ascii="Times New Roman" w:eastAsia="Calibri" w:hAnsi="Times New Roman" w:cs="Times New Roman"/>
          <w:b/>
          <w:bCs/>
          <w:color w:val="000000"/>
          <w:lang w:eastAsia="hu-HU"/>
        </w:rPr>
        <w:t xml:space="preserve"> aktiválásra került nagyobb beruházások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43"/>
      </w:tblGrid>
      <w:tr w:rsidR="000B7BF3" w:rsidRPr="00124E79" w14:paraId="028F20EB" w14:textId="77777777" w:rsidTr="00BB1B90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33FA" w14:textId="77777777" w:rsidR="000B7BF3" w:rsidRPr="00124E79" w:rsidRDefault="000B7BF3" w:rsidP="0012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Beruházás megnevezés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C4A0" w14:textId="77777777" w:rsidR="000B7BF3" w:rsidRPr="00124E79" w:rsidRDefault="000B7BF3" w:rsidP="00124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Összeg</w:t>
            </w:r>
          </w:p>
        </w:tc>
      </w:tr>
      <w:tr w:rsidR="000B7BF3" w:rsidRPr="00124E79" w14:paraId="100AC5F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955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Könyvtár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E667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6 038 981 Ft</w:t>
            </w:r>
          </w:p>
        </w:tc>
      </w:tr>
      <w:tr w:rsidR="000B7BF3" w:rsidRPr="00124E79" w14:paraId="2818A10D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CE87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Óvodai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BCF3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6 664 635 Ft</w:t>
            </w:r>
          </w:p>
        </w:tc>
      </w:tr>
      <w:tr w:rsidR="000B7BF3" w:rsidRPr="00124E79" w14:paraId="69584A02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4357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EÜ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55B7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9 981 276 Ft</w:t>
            </w:r>
          </w:p>
        </w:tc>
      </w:tr>
      <w:tr w:rsidR="000B7BF3" w:rsidRPr="00124E79" w14:paraId="7B391E14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2A94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PH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79A3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10 895 475 Ft</w:t>
            </w:r>
          </w:p>
        </w:tc>
      </w:tr>
      <w:tr w:rsidR="000B7BF3" w:rsidRPr="00124E79" w14:paraId="78F85EEE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EA7D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NÉPI ÉPÍTÉSZETI PRG. - PETŐFI SZÜLŐHÁZ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ACAE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14 877 000 Ft</w:t>
            </w:r>
          </w:p>
        </w:tc>
      </w:tr>
      <w:tr w:rsidR="000B7BF3" w:rsidRPr="00124E79" w14:paraId="3995056D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DADA" w14:textId="230E665B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</w:t>
            </w:r>
            <w:r w:rsidR="00DA767C"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</w:t>
            </w:r>
            <w:proofErr w:type="spellEnd"/>
            <w:r w:rsidR="00DA767C"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-i </w:t>
            </w:r>
            <w:proofErr w:type="spellStart"/>
            <w:r w:rsidR="00DA767C"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feladatell</w:t>
            </w:r>
            <w:proofErr w:type="spellEnd"/>
            <w:r w:rsidR="00DA767C"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. 2021. Liget u. </w:t>
            </w: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járdafelújítás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9EB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14 947 550 Ft</w:t>
            </w:r>
          </w:p>
        </w:tc>
      </w:tr>
      <w:tr w:rsidR="000B7BF3" w:rsidRPr="00124E79" w14:paraId="632CAD3C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443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Út, járda, parkolóépítés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3C4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21 941 844 Ft</w:t>
            </w:r>
          </w:p>
        </w:tc>
      </w:tr>
      <w:tr w:rsidR="000B7BF3" w:rsidRPr="00124E79" w14:paraId="4D53F0EC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B82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Befejezett víziközmű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A1F5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39 009 904 Ft</w:t>
            </w:r>
          </w:p>
        </w:tc>
      </w:tr>
      <w:tr w:rsidR="000B7BF3" w:rsidRPr="00124E79" w14:paraId="1399528E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5B10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KUBINYI PROGRAM 2020-\"HÉT ÉV\" PETŐFI ÁLLANDÓ KIÁLLÍTÁS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39AB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45 702 760 Ft</w:t>
            </w:r>
          </w:p>
        </w:tc>
      </w:tr>
      <w:tr w:rsidR="000B7BF3" w:rsidRPr="00124E79" w14:paraId="403626B8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79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TOP-1.4.1-19 Bölcsődei férőhelyek kialakítása, bővítése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8416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147 159 951 Ft</w:t>
            </w:r>
          </w:p>
        </w:tc>
      </w:tr>
      <w:tr w:rsidR="000B7BF3" w:rsidRPr="00124E79" w14:paraId="593F07B6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3BCE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TOP-3.1.1-16 Kerékpárút Kiskőrös-Tabdi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3B4F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345 905 311 Ft</w:t>
            </w:r>
          </w:p>
        </w:tc>
      </w:tr>
      <w:tr w:rsidR="000B7BF3" w:rsidRPr="00124E79" w14:paraId="42FF08D1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ABEE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Önkormányzati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8FF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147 527 288 Ft</w:t>
            </w:r>
          </w:p>
        </w:tc>
      </w:tr>
      <w:tr w:rsidR="000B7BF3" w:rsidRPr="00124E79" w14:paraId="23888B9B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0D05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Mindösszesen: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6383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810 651 975 Ft</w:t>
            </w:r>
          </w:p>
        </w:tc>
      </w:tr>
    </w:tbl>
    <w:p w14:paraId="48608C2E" w14:textId="77777777" w:rsidR="000B7BF3" w:rsidRPr="00124E79" w:rsidRDefault="000B7BF3" w:rsidP="00124E7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hu-HU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8"/>
        <w:gridCol w:w="1843"/>
      </w:tblGrid>
      <w:tr w:rsidR="000B7BF3" w:rsidRPr="00124E79" w14:paraId="109EA87D" w14:textId="77777777" w:rsidTr="00BB1B90">
        <w:trPr>
          <w:trHeight w:val="2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968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Önkormányzati beruházások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ABE0" w14:textId="77777777" w:rsidR="000B7BF3" w:rsidRPr="00124E79" w:rsidRDefault="000B7BF3" w:rsidP="00124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147 527 288 Ft</w:t>
            </w:r>
          </w:p>
        </w:tc>
      </w:tr>
      <w:tr w:rsidR="000B7BF3" w:rsidRPr="00124E79" w14:paraId="274AE27C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7D7B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BAXI Gázkazán Petőfi út 1-3. sz.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A8C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2 346 870 Ft </w:t>
            </w:r>
          </w:p>
        </w:tc>
      </w:tr>
      <w:tr w:rsidR="000B7BF3" w:rsidRPr="00124E79" w14:paraId="4353B900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77E0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Petőfi 200 emlékkapu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BB7E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2 548 730 Ft </w:t>
            </w:r>
          </w:p>
        </w:tc>
      </w:tr>
      <w:tr w:rsidR="000B7BF3" w:rsidRPr="00124E79" w14:paraId="78BD5FAB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01DF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Damjanich úti járda - felújítása 243 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D62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  4 563 200 Ft </w:t>
            </w:r>
          </w:p>
        </w:tc>
      </w:tr>
      <w:tr w:rsidR="000B7BF3" w:rsidRPr="00124E79" w14:paraId="4C0BAF70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2A9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NAPELEMES VILÁGÍTÁSI BERENDEZÉSEK TELEPÍTÉSE, 9 DB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C4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10 237 500 Ft </w:t>
            </w:r>
          </w:p>
        </w:tc>
      </w:tr>
      <w:tr w:rsidR="000B7BF3" w:rsidRPr="00124E79" w14:paraId="5AB2F6C5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27E3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TŰZOLTÓ LAKTANYA SPORTPÁLYA ÉPÍTÉS - befejezetlenként átadott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254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11 811 030 Ft </w:t>
            </w:r>
          </w:p>
        </w:tc>
      </w:tr>
      <w:tr w:rsidR="000B7BF3" w:rsidRPr="00124E79" w14:paraId="57891603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BA56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régi Hunyadi úti óvoda épület - Kiskőrös, 2418 hrsz. alatti ingatlan felújítása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35C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24 622 730 Ft </w:t>
            </w:r>
          </w:p>
        </w:tc>
      </w:tr>
      <w:tr w:rsidR="000B7BF3" w:rsidRPr="00124E79" w14:paraId="5B4FF71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5651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Pozsonyi u. 2 Pátria (3138/A/1)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4A7A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80 000 000 Ft </w:t>
            </w:r>
          </w:p>
        </w:tc>
      </w:tr>
      <w:tr w:rsidR="000B7BF3" w:rsidRPr="00124E79" w14:paraId="3DE9D51F" w14:textId="77777777" w:rsidTr="00BB1B90">
        <w:trPr>
          <w:trHeight w:val="25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4112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>Egyéb Önkormányzati beruházások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1D18" w14:textId="77777777" w:rsidR="000B7BF3" w:rsidRPr="00124E79" w:rsidRDefault="000B7BF3" w:rsidP="00124E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124E79">
              <w:rPr>
                <w:rFonts w:ascii="Times New Roman" w:eastAsia="Times New Roman" w:hAnsi="Times New Roman" w:cs="Times New Roman"/>
                <w:lang w:eastAsia="hu-HU"/>
              </w:rPr>
              <w:t xml:space="preserve">   11 397 228 Ft </w:t>
            </w:r>
          </w:p>
        </w:tc>
      </w:tr>
    </w:tbl>
    <w:p w14:paraId="704B4E1D" w14:textId="4F267152" w:rsidR="000B7BF3" w:rsidRPr="00124E79" w:rsidRDefault="000B7BF3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u w:val="single"/>
          <w:lang w:eastAsia="zh-CN"/>
        </w:rPr>
      </w:pPr>
    </w:p>
    <w:p w14:paraId="2F06C2B5" w14:textId="340649D5" w:rsidR="00325868" w:rsidRPr="00124E79" w:rsidRDefault="00325868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>Környezet védelmét közvetlenül szolgáló tárgyi eszközeink: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Ft-ban</w:t>
      </w:r>
    </w:p>
    <w:p w14:paraId="31687205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i/>
          <w:lang w:eastAsia="zh-CN"/>
        </w:rPr>
        <w:t>Megnevezés: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ab/>
        <w:t xml:space="preserve">    bruttó érték: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ab/>
        <w:t xml:space="preserve">  tárgyévi ÉCS:</w:t>
      </w:r>
      <w:r w:rsidRPr="00124E79">
        <w:rPr>
          <w:rFonts w:ascii="Times New Roman" w:eastAsia="Times New Roman" w:hAnsi="Times New Roman" w:cs="Times New Roman"/>
          <w:i/>
          <w:lang w:eastAsia="zh-CN"/>
        </w:rPr>
        <w:tab/>
        <w:t>halmozott ÉCS:     nettó érték:</w:t>
      </w:r>
    </w:p>
    <w:p w14:paraId="0EEB029C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Zajszintmérő: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138.072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0 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138.072                      0</w:t>
      </w:r>
    </w:p>
    <w:p w14:paraId="68CFD783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Integráló</w:t>
      </w:r>
    </w:p>
    <w:p w14:paraId="088BA951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zajszintmérő: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372.500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         372.500</w:t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       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</w:p>
    <w:p w14:paraId="70EB2B0A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tűmegsemmisítő       30.750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      30.750</w:t>
      </w:r>
      <w:r w:rsidRPr="00124E79">
        <w:rPr>
          <w:rFonts w:ascii="Times New Roman" w:eastAsia="Times New Roman" w:hAnsi="Times New Roman" w:cs="Times New Roman"/>
          <w:lang w:eastAsia="zh-CN"/>
        </w:rPr>
        <w:tab/>
      </w:r>
      <w:r w:rsidRPr="00124E79">
        <w:rPr>
          <w:rFonts w:ascii="Times New Roman" w:eastAsia="Times New Roman" w:hAnsi="Times New Roman" w:cs="Times New Roman"/>
          <w:lang w:eastAsia="zh-CN"/>
        </w:rPr>
        <w:tab/>
        <w:t xml:space="preserve">    0</w:t>
      </w:r>
    </w:p>
    <w:p w14:paraId="08DF1BB1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72360EEB" w14:textId="606E02B3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Veszélyes hulladék, környezetre káros anyag (tű, fecskendő, betegellátási hulladék) az Egészségügyi, Gyermekjóléti és Szociális Intézménynél keletkezett. Az anyagok elszállítását és megsemmisítését a SEPTOX Kft. végezte</w:t>
      </w:r>
      <w:r w:rsidR="00514FA5" w:rsidRPr="00124E79">
        <w:rPr>
          <w:rFonts w:ascii="Times New Roman" w:eastAsia="Times New Roman" w:hAnsi="Times New Roman" w:cs="Times New Roman"/>
          <w:lang w:eastAsia="zh-CN"/>
        </w:rPr>
        <w:t xml:space="preserve">, a munka ellenértékeként 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123.520</w:t>
      </w:r>
      <w:r w:rsidR="00A10157" w:rsidRPr="00124E79">
        <w:rPr>
          <w:rFonts w:ascii="Times New Roman" w:eastAsia="Times New Roman" w:hAnsi="Times New Roman" w:cs="Times New Roman"/>
          <w:lang w:eastAsia="zh-CN"/>
        </w:rPr>
        <w:t xml:space="preserve"> Ft került kifizetésre 202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2</w:t>
      </w:r>
      <w:r w:rsidRPr="00124E79">
        <w:rPr>
          <w:rFonts w:ascii="Times New Roman" w:eastAsia="Times New Roman" w:hAnsi="Times New Roman" w:cs="Times New Roman"/>
          <w:lang w:eastAsia="zh-CN"/>
        </w:rPr>
        <w:t>. évben.</w:t>
      </w:r>
    </w:p>
    <w:p w14:paraId="1EE7415D" w14:textId="13E3C280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Állati tetemek elszállítását az ATEV Fehérjefeldolgozó Zrt.</w:t>
      </w:r>
      <w:r w:rsidR="00A10157" w:rsidRPr="00124E79">
        <w:rPr>
          <w:rFonts w:ascii="Times New Roman" w:eastAsia="Times New Roman" w:hAnsi="Times New Roman" w:cs="Times New Roman"/>
          <w:lang w:eastAsia="zh-CN"/>
        </w:rPr>
        <w:t xml:space="preserve"> végzi, a szolgáltatásért a 202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2</w:t>
      </w:r>
      <w:r w:rsidR="001A69E4" w:rsidRPr="00124E79">
        <w:rPr>
          <w:rFonts w:ascii="Times New Roman" w:eastAsia="Times New Roman" w:hAnsi="Times New Roman" w:cs="Times New Roman"/>
          <w:lang w:eastAsia="zh-CN"/>
        </w:rPr>
        <w:t xml:space="preserve">. évben </w:t>
      </w:r>
      <w:r w:rsidR="00A10157" w:rsidRPr="00124E79">
        <w:rPr>
          <w:rFonts w:ascii="Times New Roman" w:eastAsia="Times New Roman" w:hAnsi="Times New Roman" w:cs="Times New Roman"/>
          <w:lang w:eastAsia="zh-CN"/>
        </w:rPr>
        <w:t>3.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360.702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Ft került kifizetésre. </w:t>
      </w:r>
    </w:p>
    <w:p w14:paraId="28C34728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668D901D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u w:val="single"/>
          <w:lang w:eastAsia="zh-CN"/>
        </w:rPr>
        <w:t xml:space="preserve">Gazdasági társaságok, ahol 25%-os tulajdoni hányadot meghaladó részesedéssel bír az </w:t>
      </w:r>
      <w:r w:rsidR="00B212EA" w:rsidRPr="00124E79">
        <w:rPr>
          <w:rFonts w:ascii="Times New Roman" w:eastAsia="Times New Roman" w:hAnsi="Times New Roman" w:cs="Times New Roman"/>
          <w:i/>
          <w:u w:val="single"/>
          <w:lang w:eastAsia="zh-CN"/>
        </w:rPr>
        <w:t>Ö</w:t>
      </w:r>
      <w:r w:rsidRPr="00124E79">
        <w:rPr>
          <w:rFonts w:ascii="Times New Roman" w:eastAsia="Times New Roman" w:hAnsi="Times New Roman" w:cs="Times New Roman"/>
          <w:i/>
          <w:u w:val="single"/>
          <w:lang w:eastAsia="zh-CN"/>
        </w:rPr>
        <w:t>nkormányzat</w:t>
      </w:r>
      <w:r w:rsidRPr="00124E79">
        <w:rPr>
          <w:rFonts w:ascii="Times New Roman" w:eastAsia="Times New Roman" w:hAnsi="Times New Roman" w:cs="Times New Roman"/>
          <w:u w:val="single"/>
          <w:lang w:eastAsia="zh-CN"/>
        </w:rPr>
        <w:t>:</w:t>
      </w:r>
    </w:p>
    <w:p w14:paraId="5FDE866B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Minősített többségi befolyás:    Kőröskom Kft. 6200</w:t>
      </w:r>
      <w:r w:rsidR="003972A0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.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Kiskőrös, Petőfi Sándor út 108.</w:t>
      </w:r>
    </w:p>
    <w:p w14:paraId="76D7A78F" w14:textId="77777777" w:rsidR="00325868" w:rsidRPr="00124E79" w:rsidRDefault="00325868" w:rsidP="00124E79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mallCaps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100%-os részesedés, </w:t>
      </w:r>
      <w:r w:rsidR="00E61F82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25 millió Ft jegyzett tőke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,</w:t>
      </w:r>
    </w:p>
    <w:p w14:paraId="4A442058" w14:textId="77777777" w:rsidR="00325868" w:rsidRPr="00124E79" w:rsidRDefault="00325868" w:rsidP="00124E79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mallCaps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Kőrösszolg Kft. 6200.</w:t>
      </w:r>
      <w:r w:rsidR="003972A0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Kiskőrös, Petőfi Sándor út 108.</w:t>
      </w:r>
    </w:p>
    <w:p w14:paraId="3299B280" w14:textId="77777777" w:rsidR="00325868" w:rsidRPr="00124E79" w:rsidRDefault="00325868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                                                   100 %-os r</w:t>
      </w:r>
      <w:r w:rsidR="005B534A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észesedés, 6.700.000 Ft </w:t>
      </w:r>
      <w:r w:rsidR="00E61F82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jegyzett tőke,</w:t>
      </w:r>
    </w:p>
    <w:p w14:paraId="4D61ACDE" w14:textId="77777777" w:rsidR="005B534A" w:rsidRPr="00124E79" w:rsidRDefault="005B534A" w:rsidP="00124E7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Kunság-Média Kft. 6200. Kiskőrös,</w:t>
      </w:r>
    </w:p>
    <w:p w14:paraId="3731AEB8" w14:textId="77777777" w:rsidR="005B534A" w:rsidRPr="00124E79" w:rsidRDefault="005B534A" w:rsidP="00124E79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mallCaps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    100%-os részesedés, </w:t>
      </w:r>
      <w:r w:rsidR="00E61F82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3.</w:t>
      </w:r>
      <w:r w:rsidR="00D1530F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0</w:t>
      </w:r>
      <w:r w:rsidR="00E61F82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60.000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Ft </w:t>
      </w:r>
      <w:r w:rsidR="00E61F82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jegyzett tőke.</w:t>
      </w:r>
    </w:p>
    <w:p w14:paraId="08089C2B" w14:textId="77777777" w:rsidR="00325868" w:rsidRPr="00124E79" w:rsidRDefault="00325868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color w:val="000000" w:themeColor="text1"/>
          <w:lang w:eastAsia="zh-CN"/>
        </w:rPr>
      </w:pPr>
    </w:p>
    <w:p w14:paraId="4D5BD07F" w14:textId="77777777" w:rsidR="00325868" w:rsidRPr="00124E79" w:rsidRDefault="00F415EA" w:rsidP="00124E79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9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Számviteli politika</w:t>
      </w:r>
    </w:p>
    <w:p w14:paraId="565A7ECA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68BEDF60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lastRenderedPageBreak/>
        <w:t>Év közben az alábbi szabályzatok módosítása történt meg:</w:t>
      </w:r>
    </w:p>
    <w:p w14:paraId="7D8C5776" w14:textId="729DA85A" w:rsidR="00FF2FC4" w:rsidRPr="00124E79" w:rsidRDefault="001F7193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2022</w:t>
      </w:r>
      <w:r w:rsidR="00764A51" w:rsidRPr="00124E79">
        <w:rPr>
          <w:rFonts w:ascii="Times New Roman" w:eastAsia="Times New Roman" w:hAnsi="Times New Roman" w:cs="Times New Roman"/>
          <w:lang w:eastAsia="zh-CN"/>
        </w:rPr>
        <w:t xml:space="preserve">. január </w:t>
      </w:r>
      <w:r w:rsidR="00F113D8" w:rsidRPr="00124E79">
        <w:rPr>
          <w:rFonts w:ascii="Times New Roman" w:eastAsia="Times New Roman" w:hAnsi="Times New Roman" w:cs="Times New Roman"/>
          <w:lang w:eastAsia="zh-CN"/>
        </w:rPr>
        <w:t>0</w:t>
      </w:r>
      <w:r w:rsidR="00764A51" w:rsidRPr="00124E79">
        <w:rPr>
          <w:rFonts w:ascii="Times New Roman" w:eastAsia="Times New Roman" w:hAnsi="Times New Roman" w:cs="Times New Roman"/>
          <w:lang w:eastAsia="zh-CN"/>
        </w:rPr>
        <w:t xml:space="preserve">1-i 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és 2022.december 01-i 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 xml:space="preserve">hatállyal a </w:t>
      </w:r>
      <w:r w:rsidR="00325868" w:rsidRPr="00124E79">
        <w:rPr>
          <w:rFonts w:ascii="Times New Roman" w:eastAsia="Times New Roman" w:hAnsi="Times New Roman" w:cs="Times New Roman"/>
          <w:i/>
          <w:lang w:eastAsia="zh-CN"/>
        </w:rPr>
        <w:t>Számviteli politika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>,</w:t>
      </w:r>
    </w:p>
    <w:p w14:paraId="0C045829" w14:textId="61B52495" w:rsidR="00325868" w:rsidRPr="00124E79" w:rsidRDefault="00123054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2022. február 1</w:t>
      </w:r>
      <w:r w:rsidR="005254B2" w:rsidRPr="00124E79">
        <w:rPr>
          <w:rFonts w:ascii="Times New Roman" w:eastAsia="Times New Roman" w:hAnsi="Times New Roman" w:cs="Times New Roman"/>
          <w:lang w:eastAsia="zh-CN"/>
        </w:rPr>
        <w:t>-i</w:t>
      </w:r>
      <w:r w:rsidRPr="00124E79">
        <w:rPr>
          <w:rFonts w:ascii="Times New Roman" w:eastAsia="Times New Roman" w:hAnsi="Times New Roman" w:cs="Times New Roman"/>
          <w:lang w:eastAsia="zh-CN"/>
        </w:rPr>
        <w:t xml:space="preserve"> és 2022. december 1-i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 xml:space="preserve"> hatállyal a </w:t>
      </w:r>
      <w:r w:rsidR="00325868" w:rsidRPr="00124E79">
        <w:rPr>
          <w:rFonts w:ascii="Times New Roman" w:eastAsia="Times New Roman" w:hAnsi="Times New Roman" w:cs="Times New Roman"/>
          <w:i/>
          <w:lang w:eastAsia="zh-CN"/>
        </w:rPr>
        <w:t>Pénz-és értékkezelési szabályzat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>,</w:t>
      </w:r>
    </w:p>
    <w:p w14:paraId="1DB6CDFA" w14:textId="37CB9724" w:rsidR="00FC4543" w:rsidRPr="00124E79" w:rsidRDefault="001F7193" w:rsidP="00124E7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7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 xml:space="preserve"> alkalommal a </w:t>
      </w:r>
      <w:r w:rsidR="00325868" w:rsidRPr="00124E79">
        <w:rPr>
          <w:rFonts w:ascii="Times New Roman" w:eastAsia="Times New Roman" w:hAnsi="Times New Roman" w:cs="Times New Roman"/>
          <w:i/>
          <w:lang w:eastAsia="zh-CN"/>
        </w:rPr>
        <w:t>Kiskőrös Város Polgármesterének és Jegyzőjének együttes utasítása a Polgármesteri Hivatal gazdálkodási szabályzatáról</w:t>
      </w:r>
      <w:r w:rsidR="0081126D" w:rsidRPr="00124E79">
        <w:rPr>
          <w:rFonts w:ascii="Times New Roman" w:eastAsia="Times New Roman" w:hAnsi="Times New Roman" w:cs="Times New Roman"/>
          <w:i/>
          <w:lang w:eastAsia="zh-CN"/>
        </w:rPr>
        <w:t>;</w:t>
      </w:r>
      <w:r w:rsidR="00A600D6" w:rsidRPr="00124E79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0908A253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 módosításokat elsősorban a külső szabályozók változása és a személyi változások indokolták.</w:t>
      </w:r>
    </w:p>
    <w:p w14:paraId="2B480DF7" w14:textId="77777777" w:rsidR="00325868" w:rsidRPr="00124E79" w:rsidRDefault="00325868" w:rsidP="00124E7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64C7EF9" w14:textId="33314B7F" w:rsidR="00325868" w:rsidRPr="00124E79" w:rsidRDefault="00F415E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10</w:t>
      </w:r>
      <w:r w:rsidR="00F92C5F" w:rsidRPr="00124E79">
        <w:rPr>
          <w:rFonts w:ascii="Times New Roman" w:eastAsia="Times New Roman" w:hAnsi="Times New Roman" w:cs="Times New Roman"/>
          <w:b/>
          <w:lang w:eastAsia="zh-CN"/>
        </w:rPr>
        <w:t>. A zárszámadási rendelet 202</w:t>
      </w:r>
      <w:r w:rsidR="008A3A72" w:rsidRPr="00124E79">
        <w:rPr>
          <w:rFonts w:ascii="Times New Roman" w:eastAsia="Times New Roman" w:hAnsi="Times New Roman" w:cs="Times New Roman"/>
          <w:b/>
          <w:lang w:eastAsia="zh-CN"/>
        </w:rPr>
        <w:t>3</w:t>
      </w:r>
      <w:r w:rsidR="00325868" w:rsidRPr="00124E79">
        <w:rPr>
          <w:rFonts w:ascii="Times New Roman" w:eastAsia="Times New Roman" w:hAnsi="Times New Roman" w:cs="Times New Roman"/>
          <w:b/>
          <w:lang w:eastAsia="zh-CN"/>
        </w:rPr>
        <w:t>. évi költségvetésre gyakorolt hatásai</w:t>
      </w:r>
    </w:p>
    <w:p w14:paraId="3FAFB973" w14:textId="77777777" w:rsidR="00325868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536A43F2" w14:textId="3B73D1AD" w:rsidR="00325868" w:rsidRPr="00124E79" w:rsidRDefault="00F92C5F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 2021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>. évben ké</w:t>
      </w:r>
      <w:r w:rsidRPr="00124E79">
        <w:rPr>
          <w:rFonts w:ascii="Times New Roman" w:eastAsia="Times New Roman" w:hAnsi="Times New Roman" w:cs="Times New Roman"/>
          <w:lang w:eastAsia="zh-CN"/>
        </w:rPr>
        <w:t>pződött maradvány összege a 202</w:t>
      </w:r>
      <w:r w:rsidR="008A3A72" w:rsidRPr="00124E79">
        <w:rPr>
          <w:rFonts w:ascii="Times New Roman" w:eastAsia="Times New Roman" w:hAnsi="Times New Roman" w:cs="Times New Roman"/>
          <w:lang w:eastAsia="zh-CN"/>
        </w:rPr>
        <w:t>3</w:t>
      </w:r>
      <w:r w:rsidR="00325868" w:rsidRPr="00124E79">
        <w:rPr>
          <w:rFonts w:ascii="Times New Roman" w:eastAsia="Times New Roman" w:hAnsi="Times New Roman" w:cs="Times New Roman"/>
          <w:lang w:eastAsia="zh-CN"/>
        </w:rPr>
        <w:t>. évi költségvetési re</w:t>
      </w:r>
      <w:r w:rsidR="0020534A" w:rsidRPr="00124E79">
        <w:rPr>
          <w:rFonts w:ascii="Times New Roman" w:eastAsia="Times New Roman" w:hAnsi="Times New Roman" w:cs="Times New Roman"/>
          <w:lang w:eastAsia="zh-CN"/>
        </w:rPr>
        <w:t>ndeletbe már beépítésre került.</w:t>
      </w:r>
    </w:p>
    <w:p w14:paraId="2EBD8C95" w14:textId="77777777" w:rsidR="0020534A" w:rsidRPr="00124E79" w:rsidRDefault="0020534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38C6F8A9" w14:textId="77777777" w:rsidR="008916E2" w:rsidRPr="00124E79" w:rsidRDefault="00CD12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24E79">
        <w:rPr>
          <w:rFonts w:ascii="Times New Roman" w:eastAsia="Times New Roman" w:hAnsi="Times New Roman" w:cs="Times New Roman"/>
          <w:b/>
          <w:lang w:eastAsia="zh-CN"/>
        </w:rPr>
        <w:t>11. Egyéb kimutatások</w:t>
      </w:r>
    </w:p>
    <w:p w14:paraId="443E3EA4" w14:textId="77777777" w:rsidR="00CD1259" w:rsidRPr="00124E79" w:rsidRDefault="00CD12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22F5EBDA" w14:textId="7D7CA323" w:rsidR="003F5A55" w:rsidRPr="00124E79" w:rsidRDefault="003F5A55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Valamennyi költségvetési szerv vezetője nyilatkozatban értékelte saját költségvetési szerve bel</w:t>
      </w:r>
      <w:r w:rsidR="00803BB3" w:rsidRPr="00124E79">
        <w:rPr>
          <w:rFonts w:ascii="Times New Roman" w:eastAsia="Times New Roman" w:hAnsi="Times New Roman" w:cs="Times New Roman"/>
          <w:lang w:eastAsia="zh-CN"/>
        </w:rPr>
        <w:t xml:space="preserve">ső kontrollrendszerét, </w:t>
      </w:r>
      <w:r w:rsidR="00047063" w:rsidRPr="00124E79">
        <w:rPr>
          <w:rFonts w:ascii="Times New Roman" w:eastAsia="Times New Roman" w:hAnsi="Times New Roman" w:cs="Times New Roman"/>
          <w:lang w:eastAsia="zh-CN"/>
        </w:rPr>
        <w:t>(</w:t>
      </w:r>
      <w:r w:rsidR="00047063" w:rsidRPr="00124E79">
        <w:rPr>
          <w:rFonts w:ascii="Times New Roman" w:eastAsia="Times New Roman" w:hAnsi="Times New Roman" w:cs="Times New Roman"/>
          <w:i/>
          <w:lang w:eastAsia="zh-CN"/>
        </w:rPr>
        <w:t>a költségvetési szervek belső kontrollrendszeréről és belső ellenőrzésről</w:t>
      </w:r>
      <w:r w:rsidR="00047063" w:rsidRPr="00124E79">
        <w:rPr>
          <w:rFonts w:ascii="Times New Roman" w:eastAsia="Times New Roman" w:hAnsi="Times New Roman" w:cs="Times New Roman"/>
          <w:lang w:eastAsia="zh-CN"/>
        </w:rPr>
        <w:t xml:space="preserve"> szóló 370/2011. (XII.31.) korm.rendelet 11.</w:t>
      </w:r>
      <w:r w:rsidR="005E447D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047063" w:rsidRPr="00124E79">
        <w:rPr>
          <w:rFonts w:ascii="Times New Roman" w:eastAsia="Times New Roman" w:hAnsi="Times New Roman" w:cs="Times New Roman"/>
          <w:lang w:eastAsia="zh-CN"/>
        </w:rPr>
        <w:t>§ (2a)</w:t>
      </w:r>
      <w:r w:rsidR="004968BD" w:rsidRPr="00124E79">
        <w:rPr>
          <w:rFonts w:ascii="Times New Roman" w:eastAsia="Times New Roman" w:hAnsi="Times New Roman" w:cs="Times New Roman"/>
          <w:lang w:eastAsia="zh-CN"/>
        </w:rPr>
        <w:t>)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968BD" w:rsidRPr="00124E79">
        <w:rPr>
          <w:rFonts w:ascii="Times New Roman" w:eastAsia="Times New Roman" w:hAnsi="Times New Roman" w:cs="Times New Roman"/>
          <w:lang w:eastAsia="zh-CN"/>
        </w:rPr>
        <w:t xml:space="preserve">a vezetői nyilatkozatok az </w:t>
      </w:r>
      <w:r w:rsidR="00294F4B" w:rsidRPr="00124E79">
        <w:rPr>
          <w:rFonts w:ascii="Times New Roman" w:eastAsia="Times New Roman" w:hAnsi="Times New Roman" w:cs="Times New Roman"/>
          <w:lang w:eastAsia="zh-CN"/>
        </w:rPr>
        <w:t>előterjesztés</w:t>
      </w:r>
      <w:r w:rsidR="004968BD" w:rsidRPr="00124E79">
        <w:rPr>
          <w:rFonts w:ascii="Times New Roman" w:eastAsia="Times New Roman" w:hAnsi="Times New Roman" w:cs="Times New Roman"/>
          <w:lang w:eastAsia="zh-CN"/>
        </w:rPr>
        <w:t xml:space="preserve"> </w:t>
      </w:r>
      <w:r w:rsidR="00947B63" w:rsidRPr="00124E79">
        <w:rPr>
          <w:rFonts w:ascii="Times New Roman" w:eastAsia="Times New Roman" w:hAnsi="Times New Roman" w:cs="Times New Roman"/>
          <w:lang w:eastAsia="zh-CN"/>
        </w:rPr>
        <w:t xml:space="preserve">1. </w:t>
      </w:r>
      <w:r w:rsidR="00AC4E0A" w:rsidRPr="00124E79">
        <w:rPr>
          <w:rFonts w:ascii="Times New Roman" w:eastAsia="Times New Roman" w:hAnsi="Times New Roman" w:cs="Times New Roman"/>
          <w:lang w:eastAsia="zh-CN"/>
        </w:rPr>
        <w:t>mellékletét képezik.</w:t>
      </w:r>
    </w:p>
    <w:p w14:paraId="4F65CE9B" w14:textId="77777777" w:rsidR="003F5A55" w:rsidRPr="00124E79" w:rsidRDefault="003F5A55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14:paraId="0FB3E3EF" w14:textId="72BE42EF" w:rsidR="00CD1259" w:rsidRPr="00124E79" w:rsidRDefault="00CD1259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Az </w:t>
      </w:r>
      <w:r w:rsidRPr="00124E79">
        <w:rPr>
          <w:rFonts w:ascii="Times New Roman" w:eastAsia="Times New Roman" w:hAnsi="Times New Roman" w:cs="Times New Roman"/>
          <w:b/>
          <w:color w:val="000000" w:themeColor="text1"/>
          <w:lang w:eastAsia="zh-CN"/>
        </w:rPr>
        <w:t>előirányzat-felhasználási terv teljesítését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a</w:t>
      </w:r>
      <w:r w:rsidR="000A18B4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rendelet-tervezet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1. melléklet</w:t>
      </w:r>
      <w:r w:rsidR="000A18B4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e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tartalmazza.</w:t>
      </w:r>
      <w:r w:rsidR="006D36CE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Látható, hogy az önkormányzat</w:t>
      </w:r>
      <w:r w:rsidR="00970F5D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ok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működési támogatásai </w:t>
      </w:r>
      <w:r w:rsidR="00260A0E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(B11) 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havo</w:t>
      </w:r>
      <w:r w:rsidR="00C86603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nta egyenlő részletben érkeznek;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a közhatalmi bevételek </w:t>
      </w:r>
      <w:r w:rsidR="00C86603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az adófizetési kötelezettségek időpontjának megfelelően március és szeptember hónapokban a legnagyobb összegűek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, a pályázatokhoz érkező támogatások </w:t>
      </w:r>
      <w:r w:rsidR="00260A0E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(B16 és B2) 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 kifizetési kérelmekhez, a pályázatok fizikai megvalósításokhoz igazodnak.</w:t>
      </w:r>
      <w:r w:rsidR="00881F26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A személyi juttatások és a hozzájuk kapcsolódó járulékok havonta köze</w:t>
      </w:r>
      <w:r w:rsidR="00C86603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l azonos összegben teljesültek; </w:t>
      </w:r>
      <w:r w:rsidR="00881F26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 dologi kiadások, beruházások és felújítások egyenletlensége a pál</w:t>
      </w:r>
      <w:r w:rsidR="005230E4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yázatok</w:t>
      </w:r>
      <w:r w:rsidR="00881F26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megvalósítását követik.</w:t>
      </w:r>
    </w:p>
    <w:p w14:paraId="34F33447" w14:textId="77777777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</w:p>
    <w:p w14:paraId="77567CCA" w14:textId="77777777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 Magyar Államkincstár Önkormányzati Pénzügyi Szabályszerűségi Ellenőrzési Főosztálya 2022. július 1. napjától 2023. június 30. napjáig a 2022. évet érintően kincstári ellenőrzést hajtott végre.</w:t>
      </w:r>
    </w:p>
    <w:p w14:paraId="4BFE3F9A" w14:textId="22258A47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2023. május 03-án megérkezett az ellenőrzési jelentés, amelyet az Áht. 91.§ (1) bekezdése értelmében a zárszámadási rendelet tervezettel együtt a képviselő-testület részére tájékoztatásul be kell nyújtani</w:t>
      </w:r>
      <w:r w:rsidR="00947B63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. A jelentés tervezet az előterjesztés 2. melléklete.</w:t>
      </w:r>
      <w:r w:rsidR="00EB4703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Az Önkormányzat, a Hivatal és az Intézmények (</w:t>
      </w:r>
      <w:proofErr w:type="spellStart"/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tov</w:t>
      </w:r>
      <w:proofErr w:type="spellEnd"/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.: vizsgált szervek) 2022. évi költségvetése teljesítését, a 2022. december 31-én fennálló vagyoni, pénzügyi helyzetet, valamint az ezen időponttal végződő év gazdálkodásának eredményét bemutató éves költségvetési beszámoló jelentős összegű hibát nem tartalmaz, az éves beszámoló a </w:t>
      </w:r>
      <w:r w:rsidR="00BA6511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vizsgált szervek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 gazdálkodásáról megbízható és valós képet mutat.</w:t>
      </w:r>
    </w:p>
    <w:p w14:paraId="73DAD846" w14:textId="52F4DBD4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 közbenső megállapítások alapján több esetben megfelelően intézkedett valamennyi vizsgált szerv. Ezek jellemzően jogszabály alapján kötelezően előírt szabályzatok, amelyek módosításra, elkészítésre kerültek; illetve zárlati feladatokkal kapcsolatos intézkedések.</w:t>
      </w:r>
    </w:p>
    <w:p w14:paraId="2DA7F3C3" w14:textId="37874716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 közbenső megállapítások alapján megkezdett intézkedések számvitel technikai intézkedések; például élelmiszer beszerzés könyvviteli nyilvántartása.</w:t>
      </w:r>
    </w:p>
    <w:p w14:paraId="1F3F3CE9" w14:textId="5CC7D03C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A közbenső megállapítások alapján meg nem kezdett intézkedések az érvényesítésre, </w:t>
      </w:r>
      <w:r w:rsidR="00BA6511"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 xml:space="preserve">pénzügyi ellenjegyzésre, </w:t>
      </w: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utalványozásra; a gazdasági események könyvelésére vonatkoznak.</w:t>
      </w:r>
    </w:p>
    <w:p w14:paraId="588DF541" w14:textId="4C911A7F" w:rsidR="00920E77" w:rsidRPr="00124E79" w:rsidRDefault="00920E77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t>Az ellenőrzés javaslatainak megfelelően végzi a jövőben is a működését valamennyi vizsgált szerv.</w:t>
      </w:r>
    </w:p>
    <w:p w14:paraId="033BF037" w14:textId="77777777" w:rsidR="00FC67DF" w:rsidRPr="00124E79" w:rsidRDefault="00FC67DF" w:rsidP="00124E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zh-CN"/>
        </w:rPr>
      </w:pPr>
      <w:r w:rsidRPr="00124E79">
        <w:rPr>
          <w:rFonts w:ascii="Times New Roman" w:eastAsia="Times New Roman" w:hAnsi="Times New Roman" w:cs="Times New Roman"/>
          <w:color w:val="000000" w:themeColor="text1"/>
          <w:lang w:eastAsia="zh-CN"/>
        </w:rPr>
        <w:br w:type="page"/>
      </w:r>
    </w:p>
    <w:p w14:paraId="67327D83" w14:textId="68CD2B77" w:rsidR="00CA7866" w:rsidRPr="00124E79" w:rsidRDefault="002D216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hu-HU"/>
        </w:rPr>
        <w:lastRenderedPageBreak/>
        <w:t xml:space="preserve">Az Áht. 24.§ (4) bekezdés c) pontja és </w:t>
      </w:r>
      <w:r w:rsidR="00D217BB" w:rsidRPr="00124E79">
        <w:rPr>
          <w:rFonts w:ascii="Times New Roman" w:eastAsia="Times New Roman" w:hAnsi="Times New Roman" w:cs="Times New Roman"/>
          <w:lang w:eastAsia="hu-HU"/>
        </w:rPr>
        <w:t xml:space="preserve">az </w:t>
      </w:r>
      <w:r w:rsidR="00D217BB" w:rsidRPr="00124E79">
        <w:rPr>
          <w:rFonts w:ascii="Times New Roman" w:eastAsia="Times New Roman" w:hAnsi="Times New Roman" w:cs="Times New Roman"/>
          <w:i/>
          <w:lang w:eastAsia="hu-HU"/>
        </w:rPr>
        <w:t>államháztartásról szóló törvény végrehajtásáról</w:t>
      </w:r>
      <w:r w:rsidR="00D217BB" w:rsidRPr="00124E79">
        <w:rPr>
          <w:rFonts w:ascii="Times New Roman" w:eastAsia="Times New Roman" w:hAnsi="Times New Roman" w:cs="Times New Roman"/>
          <w:lang w:eastAsia="hu-HU"/>
        </w:rPr>
        <w:t xml:space="preserve"> szóló 368/2011. (XII.31.) korm.rendelet</w:t>
      </w:r>
      <w:r w:rsidRPr="00124E79">
        <w:rPr>
          <w:rFonts w:ascii="Times New Roman" w:eastAsia="Times New Roman" w:hAnsi="Times New Roman" w:cs="Times New Roman"/>
          <w:lang w:eastAsia="hu-HU"/>
        </w:rPr>
        <w:t xml:space="preserve"> 28.§-a rendelkezéseit figyelembe véve a közvetett támogatások a 2022. évben az alábbiak</w:t>
      </w:r>
      <w:r w:rsidR="008916E2" w:rsidRPr="00124E79">
        <w:rPr>
          <w:rFonts w:ascii="Times New Roman" w:eastAsia="Times New Roman" w:hAnsi="Times New Roman" w:cs="Times New Roman"/>
          <w:lang w:eastAsia="zh-CN"/>
        </w:rPr>
        <w:t>:</w:t>
      </w:r>
    </w:p>
    <w:p w14:paraId="1706051A" w14:textId="41E99C1C" w:rsidR="00CA7866" w:rsidRPr="00124E79" w:rsidRDefault="00172222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124E79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3DD1AB26" wp14:editId="5380D0E5">
            <wp:extent cx="6120130" cy="8586831"/>
            <wp:effectExtent l="0" t="0" r="0" b="508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8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3A27" w14:textId="77777777" w:rsidR="0026041E" w:rsidRPr="00124E79" w:rsidRDefault="0026041E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14:paraId="29BADB63" w14:textId="77777777" w:rsidR="008916E2" w:rsidRPr="00124E79" w:rsidRDefault="00325868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 xml:space="preserve">A </w:t>
      </w:r>
      <w:r w:rsidRPr="00124E79">
        <w:rPr>
          <w:rFonts w:ascii="Times New Roman" w:eastAsia="Times New Roman" w:hAnsi="Times New Roman" w:cs="Times New Roman"/>
          <w:b/>
          <w:lang w:eastAsia="zh-CN"/>
        </w:rPr>
        <w:t>normatív áll</w:t>
      </w:r>
      <w:r w:rsidR="008916E2" w:rsidRPr="00124E79">
        <w:rPr>
          <w:rFonts w:ascii="Times New Roman" w:eastAsia="Times New Roman" w:hAnsi="Times New Roman" w:cs="Times New Roman"/>
          <w:b/>
          <w:lang w:eastAsia="zh-CN"/>
        </w:rPr>
        <w:t>ami hozzájárulások, támogatások</w:t>
      </w:r>
      <w:r w:rsidR="008916E2" w:rsidRPr="00124E79">
        <w:rPr>
          <w:rFonts w:ascii="Times New Roman" w:eastAsia="Times New Roman" w:hAnsi="Times New Roman" w:cs="Times New Roman"/>
          <w:lang w:eastAsia="zh-CN"/>
        </w:rPr>
        <w:t>:</w:t>
      </w:r>
    </w:p>
    <w:p w14:paraId="007F2A21" w14:textId="77777777" w:rsidR="007B6E14" w:rsidRPr="00124E79" w:rsidRDefault="007B6E14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14:paraId="1A4C9AB5" w14:textId="69B603F1" w:rsidR="00B612AF" w:rsidRPr="00124E79" w:rsidRDefault="001F719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233300A" wp14:editId="03D37975">
            <wp:extent cx="6120130" cy="507654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07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EBD5B" w14:textId="6A587227" w:rsidR="001F7193" w:rsidRPr="00124E79" w:rsidRDefault="001F7193" w:rsidP="00124E79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124E79">
        <w:rPr>
          <w:rFonts w:ascii="Times New Roman" w:eastAsia="Times New Roman" w:hAnsi="Times New Roman" w:cs="Times New Roman"/>
          <w:lang w:eastAsia="hu-HU"/>
        </w:rPr>
        <w:br w:type="page"/>
      </w:r>
    </w:p>
    <w:p w14:paraId="5E20387A" w14:textId="77777777" w:rsidR="001F7193" w:rsidRPr="00124E79" w:rsidRDefault="001F719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CF95A55" w14:textId="77777777" w:rsidR="001F7193" w:rsidRPr="00124E79" w:rsidRDefault="001F7193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7D7E202" w14:textId="1324FC8D" w:rsidR="0079745A" w:rsidRPr="00124E79" w:rsidRDefault="002D216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24E79">
        <w:rPr>
          <w:rFonts w:ascii="Times New Roman" w:eastAsia="Times New Roman" w:hAnsi="Times New Roman" w:cs="Times New Roman"/>
          <w:lang w:eastAsia="hu-HU"/>
        </w:rPr>
        <w:t>Az Áht. 24.§ (4) bekezdés d) pontjának megfelelően a költségvetési évet követő három év tervezett bevételi és kiadási előirányzatai az alábbi</w:t>
      </w:r>
      <w:r w:rsidR="008916E2" w:rsidRPr="00124E79">
        <w:rPr>
          <w:rFonts w:ascii="Times New Roman" w:eastAsia="Times New Roman" w:hAnsi="Times New Roman" w:cs="Times New Roman"/>
          <w:lang w:eastAsia="zh-CN"/>
        </w:rPr>
        <w:t>ak:</w:t>
      </w:r>
    </w:p>
    <w:p w14:paraId="00060873" w14:textId="77777777" w:rsidR="002D216A" w:rsidRPr="00124E79" w:rsidRDefault="002D216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p w14:paraId="027ECD37" w14:textId="14521506" w:rsidR="008916E2" w:rsidRPr="00124E79" w:rsidRDefault="000141DF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  <w:r w:rsidRPr="00124E79"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501A982C" wp14:editId="73EF344F">
            <wp:extent cx="6120130" cy="8141877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4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37B9D" w14:textId="77777777" w:rsidR="002D216A" w:rsidRPr="00124E79" w:rsidRDefault="002D216A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zh-CN"/>
        </w:rPr>
      </w:pPr>
    </w:p>
    <w:p w14:paraId="15FA2C38" w14:textId="18E6A6E4" w:rsidR="00CC25D9" w:rsidRPr="00124E79" w:rsidRDefault="007921F1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Cs/>
          <w:lang w:eastAsia="zh-CN"/>
        </w:rPr>
        <w:lastRenderedPageBreak/>
        <w:t>A következő három év terv adatai tervezése rendkívül bizonytalan, hiszen az adott év p</w:t>
      </w:r>
      <w:r w:rsidR="005E12DD" w:rsidRPr="00124E79">
        <w:rPr>
          <w:rFonts w:ascii="Times New Roman" w:eastAsia="Times New Roman" w:hAnsi="Times New Roman" w:cs="Times New Roman"/>
          <w:bCs/>
          <w:lang w:eastAsia="zh-CN"/>
        </w:rPr>
        <w:t>ályázati lehetőségei, a háború</w:t>
      </w: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 elhúzódása</w:t>
      </w:r>
      <w:r w:rsidR="00CC25D9" w:rsidRPr="00124E79">
        <w:rPr>
          <w:rFonts w:ascii="Times New Roman" w:eastAsia="Times New Roman" w:hAnsi="Times New Roman" w:cs="Times New Roman"/>
          <w:bCs/>
          <w:lang w:eastAsia="zh-CN"/>
        </w:rPr>
        <w:t>, annak hatásai</w:t>
      </w:r>
      <w:r w:rsidRPr="00124E79">
        <w:rPr>
          <w:rFonts w:ascii="Times New Roman" w:eastAsia="Times New Roman" w:hAnsi="Times New Roman" w:cs="Times New Roman"/>
          <w:bCs/>
          <w:lang w:eastAsia="zh-CN"/>
        </w:rPr>
        <w:t xml:space="preserve"> nagymértékben befolyásolják a bevételek</w:t>
      </w:r>
      <w:r w:rsidR="00CC25D9" w:rsidRPr="00124E79">
        <w:rPr>
          <w:rFonts w:ascii="Times New Roman" w:eastAsia="Times New Roman" w:hAnsi="Times New Roman" w:cs="Times New Roman"/>
          <w:bCs/>
          <w:lang w:eastAsia="zh-CN"/>
        </w:rPr>
        <w:t xml:space="preserve"> és kiadások </w:t>
      </w:r>
      <w:r w:rsidRPr="00124E79">
        <w:rPr>
          <w:rFonts w:ascii="Times New Roman" w:eastAsia="Times New Roman" w:hAnsi="Times New Roman" w:cs="Times New Roman"/>
          <w:bCs/>
          <w:lang w:eastAsia="zh-CN"/>
        </w:rPr>
        <w:t>alakulását.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 A 202</w:t>
      </w:r>
      <w:r w:rsidR="008A3A72" w:rsidRPr="00124E79">
        <w:rPr>
          <w:rFonts w:ascii="Times New Roman" w:eastAsia="Times New Roman" w:hAnsi="Times New Roman" w:cs="Times New Roman"/>
          <w:bCs/>
          <w:lang w:eastAsia="zh-CN"/>
        </w:rPr>
        <w:t>3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. év adatait </w:t>
      </w:r>
      <w:r w:rsidR="002D216A" w:rsidRPr="00124E79">
        <w:rPr>
          <w:rFonts w:ascii="Times New Roman" w:eastAsia="Times New Roman" w:hAnsi="Times New Roman" w:cs="Times New Roman"/>
          <w:bCs/>
          <w:i/>
          <w:lang w:eastAsia="zh-CN"/>
        </w:rPr>
        <w:t>Kiskőrös Város 202</w:t>
      </w:r>
      <w:r w:rsidR="008A3A72" w:rsidRPr="00124E79">
        <w:rPr>
          <w:rFonts w:ascii="Times New Roman" w:eastAsia="Times New Roman" w:hAnsi="Times New Roman" w:cs="Times New Roman"/>
          <w:bCs/>
          <w:i/>
          <w:lang w:eastAsia="zh-CN"/>
        </w:rPr>
        <w:t>3</w:t>
      </w:r>
      <w:r w:rsidR="002D216A" w:rsidRPr="00124E79">
        <w:rPr>
          <w:rFonts w:ascii="Times New Roman" w:eastAsia="Times New Roman" w:hAnsi="Times New Roman" w:cs="Times New Roman"/>
          <w:bCs/>
          <w:i/>
          <w:lang w:eastAsia="zh-CN"/>
        </w:rPr>
        <w:t>. évi költségvetéséről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 szóló </w:t>
      </w:r>
      <w:r w:rsidR="000141DF" w:rsidRPr="00124E79">
        <w:rPr>
          <w:rFonts w:ascii="Times New Roman" w:eastAsia="Times New Roman" w:hAnsi="Times New Roman" w:cs="Times New Roman"/>
          <w:bCs/>
          <w:lang w:eastAsia="zh-CN"/>
        </w:rPr>
        <w:t>2/2023. (II.23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>.) önk.</w:t>
      </w:r>
      <w:r w:rsidR="009C292B" w:rsidRPr="00124E7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>rendelet</w:t>
      </w:r>
      <w:r w:rsidR="009C292B" w:rsidRPr="00124E79">
        <w:rPr>
          <w:rFonts w:ascii="Times New Roman" w:eastAsia="Times New Roman" w:hAnsi="Times New Roman" w:cs="Times New Roman"/>
          <w:bCs/>
          <w:lang w:eastAsia="zh-CN"/>
        </w:rPr>
        <w:t>e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 tartalmazza, a 202</w:t>
      </w:r>
      <w:r w:rsidR="008A3A72" w:rsidRPr="00124E79">
        <w:rPr>
          <w:rFonts w:ascii="Times New Roman" w:eastAsia="Times New Roman" w:hAnsi="Times New Roman" w:cs="Times New Roman"/>
          <w:bCs/>
          <w:lang w:eastAsia="zh-CN"/>
        </w:rPr>
        <w:t>4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>. és 202</w:t>
      </w:r>
      <w:r w:rsidR="008A3A72" w:rsidRPr="00124E79">
        <w:rPr>
          <w:rFonts w:ascii="Times New Roman" w:eastAsia="Times New Roman" w:hAnsi="Times New Roman" w:cs="Times New Roman"/>
          <w:bCs/>
          <w:lang w:eastAsia="zh-CN"/>
        </w:rPr>
        <w:t>5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. évek adatait a </w:t>
      </w:r>
      <w:r w:rsidR="002D216A" w:rsidRPr="00124E79">
        <w:rPr>
          <w:rFonts w:ascii="Times New Roman" w:eastAsia="Times New Roman" w:hAnsi="Times New Roman" w:cs="Times New Roman"/>
          <w:bCs/>
          <w:i/>
          <w:lang w:eastAsia="zh-CN"/>
        </w:rPr>
        <w:t>Kiskőrös Város Önkormányzatának 202</w:t>
      </w:r>
      <w:r w:rsidR="008A3A72" w:rsidRPr="00124E79">
        <w:rPr>
          <w:rFonts w:ascii="Times New Roman" w:eastAsia="Times New Roman" w:hAnsi="Times New Roman" w:cs="Times New Roman"/>
          <w:bCs/>
          <w:i/>
          <w:lang w:eastAsia="zh-CN"/>
        </w:rPr>
        <w:t>3</w:t>
      </w:r>
      <w:r w:rsidR="002D216A" w:rsidRPr="00124E79">
        <w:rPr>
          <w:rFonts w:ascii="Times New Roman" w:eastAsia="Times New Roman" w:hAnsi="Times New Roman" w:cs="Times New Roman"/>
          <w:bCs/>
          <w:i/>
          <w:lang w:eastAsia="zh-CN"/>
        </w:rPr>
        <w:t>. évi költségvetése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 </w:t>
      </w:r>
      <w:r w:rsidR="002A2743" w:rsidRPr="00124E79">
        <w:rPr>
          <w:rFonts w:ascii="Times New Roman" w:eastAsia="Times New Roman" w:hAnsi="Times New Roman" w:cs="Times New Roman"/>
          <w:bCs/>
          <w:lang w:eastAsia="zh-CN"/>
        </w:rPr>
        <w:t>tárgyú előterjesztés</w:t>
      </w:r>
      <w:r w:rsidR="002D216A" w:rsidRPr="00124E79">
        <w:rPr>
          <w:rFonts w:ascii="Times New Roman" w:eastAsia="Times New Roman" w:hAnsi="Times New Roman" w:cs="Times New Roman"/>
          <w:bCs/>
          <w:lang w:eastAsia="zh-CN"/>
        </w:rPr>
        <w:t xml:space="preserve"> tartalmazta.</w:t>
      </w:r>
    </w:p>
    <w:p w14:paraId="397F1D1C" w14:textId="77777777" w:rsidR="003F689D" w:rsidRPr="00124E79" w:rsidRDefault="003F689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14:paraId="5C8CA0EC" w14:textId="5D3BA60A" w:rsidR="005E12DD" w:rsidRPr="00124E79" w:rsidRDefault="005E12DD" w:rsidP="00124E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lang w:eastAsia="zh-CN"/>
        </w:rPr>
        <w:t>A fentiek alapján javasolom, hogy a</w:t>
      </w:r>
      <w:r w:rsidR="00180432" w:rsidRPr="00124E79">
        <w:rPr>
          <w:rFonts w:ascii="Times New Roman" w:eastAsia="Times New Roman" w:hAnsi="Times New Roman" w:cs="Times New Roman"/>
          <w:lang w:eastAsia="zh-CN"/>
        </w:rPr>
        <w:t xml:space="preserve"> Képviselő-testület a Város 202</w:t>
      </w:r>
      <w:r w:rsidR="008A3A72" w:rsidRPr="00124E79">
        <w:rPr>
          <w:rFonts w:ascii="Times New Roman" w:eastAsia="Times New Roman" w:hAnsi="Times New Roman" w:cs="Times New Roman"/>
          <w:lang w:eastAsia="zh-CN"/>
        </w:rPr>
        <w:t>2</w:t>
      </w:r>
      <w:r w:rsidRPr="00124E79">
        <w:rPr>
          <w:rFonts w:ascii="Times New Roman" w:eastAsia="Times New Roman" w:hAnsi="Times New Roman" w:cs="Times New Roman"/>
          <w:lang w:eastAsia="zh-CN"/>
        </w:rPr>
        <w:t>. évi költségvetésének teljesítéséről szóló beszámolót a rendelet-tervezetben foglaltaknak megfelelően fogadja el.</w:t>
      </w:r>
    </w:p>
    <w:p w14:paraId="1A067134" w14:textId="77777777" w:rsidR="007921F1" w:rsidRDefault="007921F1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88C975E" w14:textId="77777777" w:rsidR="00124E79" w:rsidRPr="00124E79" w:rsidRDefault="00124E79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43187D9" w14:textId="682426C2" w:rsidR="00325868" w:rsidRPr="00124E79" w:rsidRDefault="00F92C5F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>Kiskőrös, 202</w:t>
      </w:r>
      <w:r w:rsidR="008A3A72" w:rsidRPr="00124E79">
        <w:rPr>
          <w:rFonts w:ascii="Times New Roman" w:eastAsia="Times New Roman" w:hAnsi="Times New Roman" w:cs="Times New Roman"/>
          <w:b/>
          <w:bCs/>
          <w:lang w:eastAsia="zh-CN"/>
        </w:rPr>
        <w:t>3</w:t>
      </w:r>
      <w:r w:rsidR="00FC4543" w:rsidRPr="00124E79">
        <w:rPr>
          <w:rFonts w:ascii="Times New Roman" w:eastAsia="Times New Roman" w:hAnsi="Times New Roman" w:cs="Times New Roman"/>
          <w:b/>
          <w:bCs/>
          <w:lang w:eastAsia="zh-CN"/>
        </w:rPr>
        <w:t xml:space="preserve">. május </w:t>
      </w:r>
      <w:r w:rsidR="00124E79">
        <w:rPr>
          <w:rFonts w:ascii="Times New Roman" w:eastAsia="Times New Roman" w:hAnsi="Times New Roman" w:cs="Times New Roman"/>
          <w:b/>
          <w:bCs/>
          <w:lang w:eastAsia="zh-CN"/>
        </w:rPr>
        <w:t>16</w:t>
      </w:r>
      <w:r w:rsidR="00325868" w:rsidRPr="00124E79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7B354CE5" w14:textId="77777777" w:rsidR="00325868" w:rsidRDefault="00325868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6886504" w14:textId="77777777" w:rsidR="00124E79" w:rsidRDefault="00124E79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6D3EED1" w14:textId="77777777" w:rsidR="00325868" w:rsidRPr="00124E79" w:rsidRDefault="00325868" w:rsidP="00124E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B7DAB0E" w14:textId="2811AC95" w:rsidR="00325868" w:rsidRPr="00124E79" w:rsidRDefault="00325868" w:rsidP="00124E79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ab/>
        <w:t>Domonyi László s</w:t>
      </w:r>
      <w:r w:rsidR="00124E79">
        <w:rPr>
          <w:rFonts w:ascii="Times New Roman" w:eastAsia="Times New Roman" w:hAnsi="Times New Roman" w:cs="Times New Roman"/>
          <w:b/>
          <w:bCs/>
          <w:lang w:eastAsia="zh-CN"/>
        </w:rPr>
        <w:t>.</w:t>
      </w: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>k.</w:t>
      </w:r>
      <w:r w:rsidR="00124E79">
        <w:rPr>
          <w:rFonts w:ascii="Times New Roman" w:eastAsia="Times New Roman" w:hAnsi="Times New Roman" w:cs="Times New Roman"/>
          <w:b/>
          <w:bCs/>
          <w:lang w:eastAsia="zh-CN"/>
        </w:rPr>
        <w:t>,</w:t>
      </w:r>
    </w:p>
    <w:p w14:paraId="2F181DD7" w14:textId="7388AB4E" w:rsidR="00325868" w:rsidRDefault="00325868" w:rsidP="00124E79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="008A3A72" w:rsidRPr="00124E79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="00124E79">
        <w:rPr>
          <w:rFonts w:ascii="Times New Roman" w:eastAsia="Times New Roman" w:hAnsi="Times New Roman" w:cs="Times New Roman"/>
          <w:b/>
          <w:bCs/>
          <w:lang w:eastAsia="zh-CN"/>
        </w:rPr>
        <w:t>p</w:t>
      </w:r>
      <w:r w:rsidRPr="00124E79">
        <w:rPr>
          <w:rFonts w:ascii="Times New Roman" w:eastAsia="Times New Roman" w:hAnsi="Times New Roman" w:cs="Times New Roman"/>
          <w:b/>
          <w:bCs/>
          <w:lang w:eastAsia="zh-CN"/>
        </w:rPr>
        <w:t>olgármester</w:t>
      </w:r>
    </w:p>
    <w:p w14:paraId="5E84C8B3" w14:textId="77777777" w:rsidR="00FA1398" w:rsidRDefault="00FA1398" w:rsidP="00124E79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2BEC8B01" w14:textId="77777777" w:rsidR="00FA1398" w:rsidRDefault="00FA1398" w:rsidP="00124E79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3053E901" w14:textId="77777777" w:rsidR="00FA1398" w:rsidRDefault="00FA1398" w:rsidP="00124E79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4D167A83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caps/>
          <w:sz w:val="22"/>
          <w:szCs w:val="22"/>
        </w:rPr>
      </w:pPr>
      <w:r w:rsidRPr="00FA1398">
        <w:rPr>
          <w:b/>
          <w:bCs/>
          <w:caps/>
          <w:sz w:val="22"/>
          <w:szCs w:val="22"/>
        </w:rPr>
        <w:t xml:space="preserve">Kiskőrös Város Önkormányzata </w:t>
      </w:r>
    </w:p>
    <w:p w14:paraId="7266E2EE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caps/>
          <w:sz w:val="22"/>
          <w:szCs w:val="22"/>
        </w:rPr>
      </w:pPr>
      <w:r w:rsidRPr="00FA1398">
        <w:rPr>
          <w:b/>
          <w:bCs/>
          <w:caps/>
          <w:sz w:val="22"/>
          <w:szCs w:val="22"/>
        </w:rPr>
        <w:t xml:space="preserve">Képviselő-testületének </w:t>
      </w:r>
    </w:p>
    <w:p w14:paraId="701CC183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.../2023. (...) önkormányzati rendelete</w:t>
      </w:r>
    </w:p>
    <w:p w14:paraId="1A38C4F0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az Önkormányzat 2022. évi zárszámadásáról</w:t>
      </w:r>
    </w:p>
    <w:p w14:paraId="0EE7F8E4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7444042A" w14:textId="77777777" w:rsidR="00FA1398" w:rsidRDefault="00FA1398" w:rsidP="00FA1398">
      <w:pPr>
        <w:pStyle w:val="Szvegtrzs"/>
        <w:spacing w:after="0" w:line="240" w:lineRule="auto"/>
        <w:jc w:val="center"/>
        <w:rPr>
          <w:sz w:val="22"/>
          <w:szCs w:val="22"/>
        </w:rPr>
      </w:pPr>
      <w:r w:rsidRPr="00FA1398">
        <w:rPr>
          <w:sz w:val="22"/>
          <w:szCs w:val="22"/>
        </w:rPr>
        <w:t>(tervezet)</w:t>
      </w:r>
    </w:p>
    <w:p w14:paraId="2D2DE67A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sz w:val="22"/>
          <w:szCs w:val="22"/>
        </w:rPr>
      </w:pPr>
    </w:p>
    <w:p w14:paraId="7060A814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Kiskőrös Város Önkormányzatának Képviselő-testülete az Alaptörvény 32 cikk (2) bekezdésében meghatározott eredeti jogalkotói hatáskörében, az Alaptörvény 32. cikk (1) bekezdés f) pontjában meghatározott feladatkörében eljárva, Kiskőrös Város Önkormányzata Képviselő-testületének az Önkormányzat Szervezeti és Működési Szabályzatáról szóló 24/2013. (XII.19.) önkormányzati rendelete 30. § (5) bekezdésének b) pontjában biztosított véleményezési jogkörében eljáró Ügyrendi és Összeférhetetlenségi Bizottság, Pénzügyi Bizottság, Kulturális, Turisztikai és Sport Bizottság, Társadalompolitikai Bizottság, Költségvetési, Ipari, Mezőgazdasági és Klímapolitikai Bizottság véleményének kikérésével a következőket rendeli el:</w:t>
      </w:r>
    </w:p>
    <w:p w14:paraId="471D0BF7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Rendelet hatálya</w:t>
      </w:r>
    </w:p>
    <w:p w14:paraId="4060D095" w14:textId="77777777" w:rsid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1. §</w:t>
      </w:r>
    </w:p>
    <w:p w14:paraId="07C2038A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D2EB367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A rendelet hatálya kiterjed Kiskőrös Város Önkormányzata, valamint az önkormányzat irányítása alá tartozó költségvetési szervekre.</w:t>
      </w:r>
    </w:p>
    <w:p w14:paraId="773686CD" w14:textId="77777777" w:rsid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63A55700" w14:textId="1B751F1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Főösszegek, teljesítések</w:t>
      </w:r>
    </w:p>
    <w:p w14:paraId="59077A02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2. §</w:t>
      </w:r>
    </w:p>
    <w:p w14:paraId="1B54B374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0EE084DB" w14:textId="22FE92DB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(1) A Képviselő-testület Kiskőrös Város Önkormányzata 2022. évi zárszámadását</w:t>
      </w:r>
    </w:p>
    <w:p w14:paraId="56558F23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a)</w:t>
      </w:r>
      <w:r w:rsidRPr="00FA1398">
        <w:rPr>
          <w:sz w:val="22"/>
          <w:szCs w:val="22"/>
        </w:rPr>
        <w:tab/>
        <w:t>3.442.714.996 forint teljesített költségvetési bevétellel</w:t>
      </w:r>
    </w:p>
    <w:p w14:paraId="2B6119CB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b)</w:t>
      </w:r>
      <w:r w:rsidRPr="00FA1398">
        <w:rPr>
          <w:sz w:val="22"/>
          <w:szCs w:val="22"/>
        </w:rPr>
        <w:tab/>
        <w:t>974.372.549 forint finanszírozási bevétellel</w:t>
      </w:r>
    </w:p>
    <w:p w14:paraId="47273FB0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c)</w:t>
      </w:r>
      <w:r w:rsidRPr="00FA1398">
        <w:rPr>
          <w:sz w:val="22"/>
          <w:szCs w:val="22"/>
        </w:rPr>
        <w:tab/>
        <w:t>3.603.146.702 forint teljesített költségvetési kiadással</w:t>
      </w:r>
    </w:p>
    <w:p w14:paraId="47C30C98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d)</w:t>
      </w:r>
      <w:r w:rsidRPr="00FA1398">
        <w:rPr>
          <w:sz w:val="22"/>
          <w:szCs w:val="22"/>
        </w:rPr>
        <w:tab/>
        <w:t>117.037.012 forint finanszírozási kiadással</w:t>
      </w:r>
    </w:p>
    <w:p w14:paraId="20C6EBE7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e)</w:t>
      </w:r>
      <w:r w:rsidRPr="00FA1398">
        <w:rPr>
          <w:sz w:val="22"/>
          <w:szCs w:val="22"/>
        </w:rPr>
        <w:tab/>
        <w:t>696.903.831 forint maradvánnyal</w:t>
      </w:r>
    </w:p>
    <w:p w14:paraId="0A54B7BE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állapítja meg.</w:t>
      </w:r>
    </w:p>
    <w:p w14:paraId="1B752839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F1997B0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(2) A Képviselő-testület az előirányzat-felhasználási terv teljesítését az 1. mellékletben, a költségvetés végrehajtásának összevont mérlegét a 2. mellékletben, a részletes bevételeit a 3. mellékletben, az önkormányzat által irányított költségvetési szervek bevételeit a 4. mellékletben foglaltak szerint állapítja meg.</w:t>
      </w:r>
    </w:p>
    <w:p w14:paraId="48E29187" w14:textId="77777777" w:rsid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0CEB05FA" w14:textId="77777777" w:rsid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54183E00" w14:textId="77777777" w:rsid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</w:p>
    <w:p w14:paraId="43DD2676" w14:textId="2F51117A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lastRenderedPageBreak/>
        <w:t>Kiadási előirányzatok</w:t>
      </w:r>
    </w:p>
    <w:p w14:paraId="16194986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3. §</w:t>
      </w:r>
    </w:p>
    <w:p w14:paraId="06F6401B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326462F" w14:textId="410F672F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(1) A Képviselő-testület a költségvetési kiadások teljesítését a finanszírozási kiadásokkal együtt 3.720.183.714 Ft-ban állapítja meg, az 5. melléklet szerinti részletezésben.</w:t>
      </w:r>
    </w:p>
    <w:p w14:paraId="4E5F753B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 xml:space="preserve">(2) A Képviselő-testület a felhalmozási célú kiadási előirányzatok teljesítését </w:t>
      </w:r>
      <w:proofErr w:type="spellStart"/>
      <w:r w:rsidRPr="00FA1398">
        <w:rPr>
          <w:sz w:val="22"/>
          <w:szCs w:val="22"/>
        </w:rPr>
        <w:t>feladatonkénti</w:t>
      </w:r>
      <w:proofErr w:type="spellEnd"/>
      <w:r w:rsidRPr="00FA1398">
        <w:rPr>
          <w:sz w:val="22"/>
          <w:szCs w:val="22"/>
        </w:rPr>
        <w:t xml:space="preserve"> és </w:t>
      </w:r>
      <w:proofErr w:type="spellStart"/>
      <w:r w:rsidRPr="00FA1398">
        <w:rPr>
          <w:sz w:val="22"/>
          <w:szCs w:val="22"/>
        </w:rPr>
        <w:t>célonkénti</w:t>
      </w:r>
      <w:proofErr w:type="spellEnd"/>
      <w:r w:rsidRPr="00FA1398">
        <w:rPr>
          <w:sz w:val="22"/>
          <w:szCs w:val="22"/>
        </w:rPr>
        <w:t xml:space="preserve"> bontásban 912.532.750 Ft-ban állapítja meg, a 6. melléklet szerinti részletezésben.</w:t>
      </w:r>
    </w:p>
    <w:p w14:paraId="3F213173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(3) A Képviselő-testület az Európai Uniós forrás bevonásával tervezett beruházásokat a 8. melléklet szerinti részletezéssel állapítja meg.</w:t>
      </w:r>
    </w:p>
    <w:p w14:paraId="73C5C6AB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772DA85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Pénzmaradvány jóváhagyása</w:t>
      </w:r>
    </w:p>
    <w:p w14:paraId="0C36270A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4. §</w:t>
      </w:r>
    </w:p>
    <w:p w14:paraId="55412FF4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48474E4" w14:textId="05638064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(1) A Képviselő-testület a 2022. évi maradványát 696.903.831 Ft összeggel, a 11. mellékletben foglaltak szerint, felosztását pedig a 12. mellékletben foglaltak szerint állapítja meg.</w:t>
      </w:r>
    </w:p>
    <w:p w14:paraId="38850288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 xml:space="preserve">(2) A Képviselő-testület a 2022. évi céltartalékok </w:t>
      </w:r>
      <w:proofErr w:type="spellStart"/>
      <w:r w:rsidRPr="00FA1398">
        <w:rPr>
          <w:sz w:val="22"/>
          <w:szCs w:val="22"/>
        </w:rPr>
        <w:t>célonkénti</w:t>
      </w:r>
      <w:proofErr w:type="spellEnd"/>
      <w:r w:rsidRPr="00FA1398">
        <w:rPr>
          <w:sz w:val="22"/>
          <w:szCs w:val="22"/>
        </w:rPr>
        <w:t xml:space="preserve"> maradványát a 7. mellékletben foglaltak szerint állapítja meg.</w:t>
      </w:r>
    </w:p>
    <w:p w14:paraId="738CFF65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1BEDB9E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Egyszerűsített beszámoló</w:t>
      </w:r>
    </w:p>
    <w:p w14:paraId="71FC2FC9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5. §</w:t>
      </w:r>
    </w:p>
    <w:p w14:paraId="32C9E6C4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2C227BB" w14:textId="032EBB08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A Képviselő-testület az Önkormányzat 2022. december 31-i állapot szerinti</w:t>
      </w:r>
    </w:p>
    <w:p w14:paraId="1D7B1890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a)</w:t>
      </w:r>
      <w:r w:rsidRPr="00FA1398">
        <w:rPr>
          <w:sz w:val="22"/>
          <w:szCs w:val="22"/>
        </w:rPr>
        <w:tab/>
        <w:t>mérlegét a 14. mellékletben – előző időszak adatait a 13. mellékletben</w:t>
      </w:r>
    </w:p>
    <w:p w14:paraId="166A07E2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b)</w:t>
      </w:r>
      <w:r w:rsidRPr="00FA1398">
        <w:rPr>
          <w:sz w:val="22"/>
          <w:szCs w:val="22"/>
        </w:rPr>
        <w:tab/>
        <w:t>eredménykimutatását a 17. mellékletben – az előző időszak adatait a 18. mellékletben</w:t>
      </w:r>
    </w:p>
    <w:p w14:paraId="7CBD2C16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c)</w:t>
      </w:r>
      <w:r w:rsidRPr="00FA1398">
        <w:rPr>
          <w:sz w:val="22"/>
          <w:szCs w:val="22"/>
        </w:rPr>
        <w:tab/>
        <w:t>maradványkimutatás a 11. mellékletben</w:t>
      </w:r>
    </w:p>
    <w:p w14:paraId="005130AC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foglaltaknak megfelelően fogadja el.</w:t>
      </w:r>
    </w:p>
    <w:p w14:paraId="46C47E75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45C4E085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Vagyonkimutatás</w:t>
      </w:r>
    </w:p>
    <w:p w14:paraId="2CE62456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6. §</w:t>
      </w:r>
    </w:p>
    <w:p w14:paraId="196A1BC0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140CCD30" w14:textId="7B341DDA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A Képviselő-testület az Önkormányzat</w:t>
      </w:r>
    </w:p>
    <w:p w14:paraId="4A286B07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a)</w:t>
      </w:r>
      <w:r w:rsidRPr="00FA1398">
        <w:rPr>
          <w:sz w:val="22"/>
          <w:szCs w:val="22"/>
        </w:rPr>
        <w:tab/>
        <w:t>vagyonkimutatását a 13. mellékletben, 14. mellékletben, 15. mellékletben és 16. mellékletben</w:t>
      </w:r>
    </w:p>
    <w:p w14:paraId="0B9EB50D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b)</w:t>
      </w:r>
      <w:r w:rsidRPr="00FA1398">
        <w:rPr>
          <w:sz w:val="22"/>
          <w:szCs w:val="22"/>
        </w:rPr>
        <w:tab/>
        <w:t>az eszközök értékvesztésének alakulását a 19. mellékletben</w:t>
      </w:r>
    </w:p>
    <w:p w14:paraId="62946E77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foglaltak szerint fogadja el.</w:t>
      </w:r>
    </w:p>
    <w:p w14:paraId="1088A8AD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35EB4A7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Követelések, kötelezettségek</w:t>
      </w:r>
    </w:p>
    <w:p w14:paraId="13455A50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7. §</w:t>
      </w:r>
    </w:p>
    <w:p w14:paraId="6CC1F7FA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66A67B6A" w14:textId="65BBB2A9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A Képviselő-testület</w:t>
      </w:r>
    </w:p>
    <w:p w14:paraId="1BD96EDF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a)</w:t>
      </w:r>
      <w:r w:rsidRPr="00FA1398">
        <w:rPr>
          <w:sz w:val="22"/>
          <w:szCs w:val="22"/>
        </w:rPr>
        <w:tab/>
        <w:t>az Önkormányzat többéves kihatással járó döntések számszerűsítését, évenkénti bontásban, szöveges indoklással a 9. mellékletben,</w:t>
      </w:r>
    </w:p>
    <w:p w14:paraId="7F7F20EC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b)</w:t>
      </w:r>
      <w:r w:rsidRPr="00FA1398">
        <w:rPr>
          <w:sz w:val="22"/>
          <w:szCs w:val="22"/>
        </w:rPr>
        <w:tab/>
        <w:t>a Magyarország gazdasági stabilitásáról szóló 2011. évi CXCIV. törvény 8. § (2) bekezdése szerinti adósságot keletkeztető ügyleteket és kezességvállalásokat, valamint saját bevételeket a 9. mellékletben,</w:t>
      </w:r>
    </w:p>
    <w:p w14:paraId="4B1EFB9D" w14:textId="77777777" w:rsidR="00FA1398" w:rsidRPr="00FA1398" w:rsidRDefault="00FA1398" w:rsidP="00FA1398">
      <w:pPr>
        <w:pStyle w:val="Szvegtrzs"/>
        <w:spacing w:after="0" w:line="240" w:lineRule="auto"/>
        <w:ind w:left="580" w:hanging="560"/>
        <w:jc w:val="both"/>
        <w:rPr>
          <w:sz w:val="22"/>
          <w:szCs w:val="22"/>
        </w:rPr>
      </w:pPr>
      <w:r w:rsidRPr="00FA1398">
        <w:rPr>
          <w:i/>
          <w:iCs/>
          <w:sz w:val="22"/>
          <w:szCs w:val="22"/>
        </w:rPr>
        <w:t>c)</w:t>
      </w:r>
      <w:r w:rsidRPr="00FA1398">
        <w:rPr>
          <w:sz w:val="22"/>
          <w:szCs w:val="22"/>
        </w:rPr>
        <w:tab/>
        <w:t>az Önkormányzat adósságot keletkeztető fejlesztési céljait a 10. mellékletben</w:t>
      </w:r>
    </w:p>
    <w:p w14:paraId="7EA795DD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  <w:r w:rsidRPr="00FA1398">
        <w:rPr>
          <w:sz w:val="22"/>
          <w:szCs w:val="22"/>
        </w:rPr>
        <w:t>foglaltaknak megfelelően fogadja el.</w:t>
      </w:r>
    </w:p>
    <w:p w14:paraId="55E49947" w14:textId="77777777" w:rsidR="00FA1398" w:rsidRP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7E2D4BB3" w14:textId="2A0E487E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Záró rendelkezés</w:t>
      </w:r>
    </w:p>
    <w:p w14:paraId="2ABDFB27" w14:textId="77777777" w:rsidR="00FA1398" w:rsidRPr="00FA1398" w:rsidRDefault="00FA1398" w:rsidP="00FA1398">
      <w:pPr>
        <w:pStyle w:val="Szvegtrzs"/>
        <w:spacing w:after="0" w:line="240" w:lineRule="auto"/>
        <w:jc w:val="center"/>
        <w:rPr>
          <w:b/>
          <w:bCs/>
          <w:sz w:val="22"/>
          <w:szCs w:val="22"/>
        </w:rPr>
      </w:pPr>
      <w:r w:rsidRPr="00FA1398">
        <w:rPr>
          <w:b/>
          <w:bCs/>
          <w:sz w:val="22"/>
          <w:szCs w:val="22"/>
        </w:rPr>
        <w:t>8. §</w:t>
      </w:r>
    </w:p>
    <w:p w14:paraId="4C8438D3" w14:textId="77777777" w:rsidR="00FA1398" w:rsidRDefault="00FA1398" w:rsidP="00FA1398">
      <w:pPr>
        <w:pStyle w:val="Szvegtrzs"/>
        <w:spacing w:after="0" w:line="240" w:lineRule="auto"/>
        <w:jc w:val="both"/>
        <w:rPr>
          <w:sz w:val="22"/>
          <w:szCs w:val="22"/>
        </w:rPr>
      </w:pPr>
    </w:p>
    <w:p w14:paraId="51E61BDF" w14:textId="3DD91841" w:rsidR="00FA1398" w:rsidRPr="00FA1398" w:rsidRDefault="00FA1398" w:rsidP="00FA1398">
      <w:pPr>
        <w:pStyle w:val="Szvegtrzs"/>
        <w:spacing w:after="0" w:line="240" w:lineRule="auto"/>
        <w:jc w:val="both"/>
        <w:rPr>
          <w:rFonts w:eastAsia="Times New Roman" w:cs="Times New Roman"/>
          <w:smallCaps/>
          <w:sz w:val="22"/>
          <w:szCs w:val="22"/>
        </w:rPr>
      </w:pPr>
      <w:r w:rsidRPr="00FA1398">
        <w:rPr>
          <w:sz w:val="22"/>
          <w:szCs w:val="22"/>
        </w:rPr>
        <w:t>Ez a rendelet a kihirdetését követő napon lép hatályba.</w:t>
      </w:r>
    </w:p>
    <w:sectPr w:rsidR="00FA1398" w:rsidRPr="00FA1398" w:rsidSect="000D717A">
      <w:footerReference w:type="default" r:id="rId13"/>
      <w:pgSz w:w="11906" w:h="16838" w:code="9"/>
      <w:pgMar w:top="1134" w:right="1134" w:bottom="1134" w:left="113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B6D1" w14:textId="77777777" w:rsidR="00A07F9E" w:rsidRDefault="00A07F9E" w:rsidP="00325868">
      <w:pPr>
        <w:spacing w:after="0" w:line="240" w:lineRule="auto"/>
      </w:pPr>
      <w:r>
        <w:separator/>
      </w:r>
    </w:p>
  </w:endnote>
  <w:endnote w:type="continuationSeparator" w:id="0">
    <w:p w14:paraId="76D7EBAC" w14:textId="77777777" w:rsidR="00A07F9E" w:rsidRDefault="00A07F9E" w:rsidP="003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5393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8E1993" w14:textId="79E7B74D" w:rsidR="000D717A" w:rsidRDefault="000D717A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E0A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4E0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781842" w14:textId="77777777" w:rsidR="00A663AF" w:rsidRDefault="00A663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D6C9C" w14:textId="77777777" w:rsidR="00A07F9E" w:rsidRDefault="00A07F9E" w:rsidP="00325868">
      <w:pPr>
        <w:spacing w:after="0" w:line="240" w:lineRule="auto"/>
      </w:pPr>
      <w:r>
        <w:separator/>
      </w:r>
    </w:p>
  </w:footnote>
  <w:footnote w:type="continuationSeparator" w:id="0">
    <w:p w14:paraId="1253C55E" w14:textId="77777777" w:rsidR="00A07F9E" w:rsidRDefault="00A07F9E" w:rsidP="0032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DDFC9300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auto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3" w15:restartNumberingAfterBreak="0">
    <w:nsid w:val="00000005"/>
    <w:multiLevelType w:val="singleLevel"/>
    <w:tmpl w:val="7CA6789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</w:rPr>
    </w:lvl>
  </w:abstractNum>
  <w:abstractNum w:abstractNumId="4" w15:restartNumberingAfterBreak="0">
    <w:nsid w:val="0BFB3DA8"/>
    <w:multiLevelType w:val="hybridMultilevel"/>
    <w:tmpl w:val="2F5086AE"/>
    <w:lvl w:ilvl="0" w:tplc="DE0E5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773E58D0"/>
    <w:multiLevelType w:val="hybridMultilevel"/>
    <w:tmpl w:val="51103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40602">
    <w:abstractNumId w:val="0"/>
  </w:num>
  <w:num w:numId="2" w16cid:durableId="903301798">
    <w:abstractNumId w:val="1"/>
  </w:num>
  <w:num w:numId="3" w16cid:durableId="2083864322">
    <w:abstractNumId w:val="2"/>
  </w:num>
  <w:num w:numId="4" w16cid:durableId="1711108846">
    <w:abstractNumId w:val="3"/>
  </w:num>
  <w:num w:numId="5" w16cid:durableId="400060757">
    <w:abstractNumId w:val="4"/>
  </w:num>
  <w:num w:numId="6" w16cid:durableId="739671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68"/>
    <w:rsid w:val="00000650"/>
    <w:rsid w:val="00000CED"/>
    <w:rsid w:val="000056D1"/>
    <w:rsid w:val="000141DF"/>
    <w:rsid w:val="00020AEE"/>
    <w:rsid w:val="000242E3"/>
    <w:rsid w:val="00026033"/>
    <w:rsid w:val="00037D7F"/>
    <w:rsid w:val="00044857"/>
    <w:rsid w:val="00045C1D"/>
    <w:rsid w:val="00047063"/>
    <w:rsid w:val="00055230"/>
    <w:rsid w:val="00056846"/>
    <w:rsid w:val="00060724"/>
    <w:rsid w:val="00060F4D"/>
    <w:rsid w:val="00063912"/>
    <w:rsid w:val="00063B0F"/>
    <w:rsid w:val="000647BE"/>
    <w:rsid w:val="00064E41"/>
    <w:rsid w:val="00065F30"/>
    <w:rsid w:val="000729B9"/>
    <w:rsid w:val="0007631B"/>
    <w:rsid w:val="000807BA"/>
    <w:rsid w:val="00081DB9"/>
    <w:rsid w:val="000820C4"/>
    <w:rsid w:val="00083BE0"/>
    <w:rsid w:val="00092AE7"/>
    <w:rsid w:val="00092B15"/>
    <w:rsid w:val="0009422D"/>
    <w:rsid w:val="00095883"/>
    <w:rsid w:val="00097E9D"/>
    <w:rsid w:val="000A0874"/>
    <w:rsid w:val="000A18B4"/>
    <w:rsid w:val="000B1A07"/>
    <w:rsid w:val="000B7BF3"/>
    <w:rsid w:val="000C3E49"/>
    <w:rsid w:val="000C50CC"/>
    <w:rsid w:val="000C74A4"/>
    <w:rsid w:val="000D717A"/>
    <w:rsid w:val="000E0CF1"/>
    <w:rsid w:val="000F3A34"/>
    <w:rsid w:val="00100D2A"/>
    <w:rsid w:val="0010396A"/>
    <w:rsid w:val="001065D9"/>
    <w:rsid w:val="00113CF5"/>
    <w:rsid w:val="00116ED8"/>
    <w:rsid w:val="00120F56"/>
    <w:rsid w:val="00121A77"/>
    <w:rsid w:val="00122AFA"/>
    <w:rsid w:val="00123054"/>
    <w:rsid w:val="00124E79"/>
    <w:rsid w:val="00125E6A"/>
    <w:rsid w:val="00125F50"/>
    <w:rsid w:val="001270FD"/>
    <w:rsid w:val="00130AEC"/>
    <w:rsid w:val="001332B9"/>
    <w:rsid w:val="00136C2F"/>
    <w:rsid w:val="00137252"/>
    <w:rsid w:val="001422A7"/>
    <w:rsid w:val="00147405"/>
    <w:rsid w:val="00156246"/>
    <w:rsid w:val="0016255B"/>
    <w:rsid w:val="00163D2A"/>
    <w:rsid w:val="00172222"/>
    <w:rsid w:val="001731A6"/>
    <w:rsid w:val="00173B50"/>
    <w:rsid w:val="00176797"/>
    <w:rsid w:val="00180432"/>
    <w:rsid w:val="00182E30"/>
    <w:rsid w:val="0018373F"/>
    <w:rsid w:val="00183AD4"/>
    <w:rsid w:val="001860FE"/>
    <w:rsid w:val="00197F4D"/>
    <w:rsid w:val="001A69E4"/>
    <w:rsid w:val="001B1334"/>
    <w:rsid w:val="001B240F"/>
    <w:rsid w:val="001B49D2"/>
    <w:rsid w:val="001B6EC0"/>
    <w:rsid w:val="001C1B79"/>
    <w:rsid w:val="001C263B"/>
    <w:rsid w:val="001C5BB3"/>
    <w:rsid w:val="001D1C86"/>
    <w:rsid w:val="001E082B"/>
    <w:rsid w:val="001E3C7A"/>
    <w:rsid w:val="001E4C24"/>
    <w:rsid w:val="001E7DF6"/>
    <w:rsid w:val="001F0147"/>
    <w:rsid w:val="001F2487"/>
    <w:rsid w:val="001F2557"/>
    <w:rsid w:val="001F5BBB"/>
    <w:rsid w:val="001F5BE2"/>
    <w:rsid w:val="001F7193"/>
    <w:rsid w:val="0020534A"/>
    <w:rsid w:val="00205470"/>
    <w:rsid w:val="00205C32"/>
    <w:rsid w:val="00211524"/>
    <w:rsid w:val="00213BD7"/>
    <w:rsid w:val="00216FDD"/>
    <w:rsid w:val="0022357A"/>
    <w:rsid w:val="00223FE6"/>
    <w:rsid w:val="00231D21"/>
    <w:rsid w:val="00231EF3"/>
    <w:rsid w:val="0023692D"/>
    <w:rsid w:val="00237445"/>
    <w:rsid w:val="0024371F"/>
    <w:rsid w:val="00245302"/>
    <w:rsid w:val="002456B2"/>
    <w:rsid w:val="002540D5"/>
    <w:rsid w:val="0025451C"/>
    <w:rsid w:val="002556E7"/>
    <w:rsid w:val="0026041E"/>
    <w:rsid w:val="00260A0E"/>
    <w:rsid w:val="002628C8"/>
    <w:rsid w:val="00262C36"/>
    <w:rsid w:val="00266ECB"/>
    <w:rsid w:val="00272713"/>
    <w:rsid w:val="002818E7"/>
    <w:rsid w:val="00286567"/>
    <w:rsid w:val="00287245"/>
    <w:rsid w:val="00294F4B"/>
    <w:rsid w:val="002A01D8"/>
    <w:rsid w:val="002A2743"/>
    <w:rsid w:val="002A4060"/>
    <w:rsid w:val="002B37D5"/>
    <w:rsid w:val="002B3AB0"/>
    <w:rsid w:val="002C2B90"/>
    <w:rsid w:val="002C2F28"/>
    <w:rsid w:val="002C6C3A"/>
    <w:rsid w:val="002C7C9C"/>
    <w:rsid w:val="002D216A"/>
    <w:rsid w:val="002D4EE3"/>
    <w:rsid w:val="002D654E"/>
    <w:rsid w:val="002D7223"/>
    <w:rsid w:val="002E0CDE"/>
    <w:rsid w:val="002E19A4"/>
    <w:rsid w:val="002E2293"/>
    <w:rsid w:val="002E400C"/>
    <w:rsid w:val="002F3CF0"/>
    <w:rsid w:val="002F3F74"/>
    <w:rsid w:val="002F4BB8"/>
    <w:rsid w:val="002F515A"/>
    <w:rsid w:val="00307F2B"/>
    <w:rsid w:val="00314E5F"/>
    <w:rsid w:val="003155E5"/>
    <w:rsid w:val="003211CF"/>
    <w:rsid w:val="00322123"/>
    <w:rsid w:val="00325868"/>
    <w:rsid w:val="00326B18"/>
    <w:rsid w:val="003270DB"/>
    <w:rsid w:val="00327152"/>
    <w:rsid w:val="00331B93"/>
    <w:rsid w:val="00331CD4"/>
    <w:rsid w:val="00333CBA"/>
    <w:rsid w:val="00337AC5"/>
    <w:rsid w:val="00344329"/>
    <w:rsid w:val="00346E04"/>
    <w:rsid w:val="00361947"/>
    <w:rsid w:val="0037228D"/>
    <w:rsid w:val="00374767"/>
    <w:rsid w:val="00380246"/>
    <w:rsid w:val="00382410"/>
    <w:rsid w:val="003843E6"/>
    <w:rsid w:val="00386E41"/>
    <w:rsid w:val="00391632"/>
    <w:rsid w:val="00393C38"/>
    <w:rsid w:val="0039443D"/>
    <w:rsid w:val="003972A0"/>
    <w:rsid w:val="003A2163"/>
    <w:rsid w:val="003A6E32"/>
    <w:rsid w:val="003B47E0"/>
    <w:rsid w:val="003C2D0A"/>
    <w:rsid w:val="003C4D8D"/>
    <w:rsid w:val="003C57E5"/>
    <w:rsid w:val="003D265F"/>
    <w:rsid w:val="003D5014"/>
    <w:rsid w:val="003E22F3"/>
    <w:rsid w:val="003E43C3"/>
    <w:rsid w:val="003E7CD2"/>
    <w:rsid w:val="003F01A5"/>
    <w:rsid w:val="003F05E5"/>
    <w:rsid w:val="003F41C8"/>
    <w:rsid w:val="003F52B4"/>
    <w:rsid w:val="003F5A55"/>
    <w:rsid w:val="003F689D"/>
    <w:rsid w:val="003F726E"/>
    <w:rsid w:val="004212F5"/>
    <w:rsid w:val="00421816"/>
    <w:rsid w:val="00421BBC"/>
    <w:rsid w:val="004252A3"/>
    <w:rsid w:val="00435333"/>
    <w:rsid w:val="00435484"/>
    <w:rsid w:val="00436423"/>
    <w:rsid w:val="00441CEB"/>
    <w:rsid w:val="00450CF2"/>
    <w:rsid w:val="00452129"/>
    <w:rsid w:val="00454120"/>
    <w:rsid w:val="00457E24"/>
    <w:rsid w:val="0046161B"/>
    <w:rsid w:val="00465391"/>
    <w:rsid w:val="004666D1"/>
    <w:rsid w:val="00480B5B"/>
    <w:rsid w:val="004828C0"/>
    <w:rsid w:val="00483451"/>
    <w:rsid w:val="00484ECB"/>
    <w:rsid w:val="00485005"/>
    <w:rsid w:val="00485249"/>
    <w:rsid w:val="00485269"/>
    <w:rsid w:val="004869F5"/>
    <w:rsid w:val="00487E10"/>
    <w:rsid w:val="0049150E"/>
    <w:rsid w:val="004968BD"/>
    <w:rsid w:val="004A2E33"/>
    <w:rsid w:val="004A4C18"/>
    <w:rsid w:val="004B039D"/>
    <w:rsid w:val="004B0EA8"/>
    <w:rsid w:val="004B3D3E"/>
    <w:rsid w:val="004C091A"/>
    <w:rsid w:val="004C111B"/>
    <w:rsid w:val="004C6F0A"/>
    <w:rsid w:val="004D0AFA"/>
    <w:rsid w:val="004D2160"/>
    <w:rsid w:val="004D2FCD"/>
    <w:rsid w:val="004D5245"/>
    <w:rsid w:val="004E0AC0"/>
    <w:rsid w:val="004E1ADA"/>
    <w:rsid w:val="004E299B"/>
    <w:rsid w:val="004E2AC5"/>
    <w:rsid w:val="004E59E9"/>
    <w:rsid w:val="004E7912"/>
    <w:rsid w:val="004F0086"/>
    <w:rsid w:val="004F109F"/>
    <w:rsid w:val="004F1A07"/>
    <w:rsid w:val="004F1EAD"/>
    <w:rsid w:val="004F2567"/>
    <w:rsid w:val="004F4B2C"/>
    <w:rsid w:val="004F4E45"/>
    <w:rsid w:val="004F6063"/>
    <w:rsid w:val="00502F04"/>
    <w:rsid w:val="00504926"/>
    <w:rsid w:val="00504A90"/>
    <w:rsid w:val="00507183"/>
    <w:rsid w:val="0050779D"/>
    <w:rsid w:val="00514FA5"/>
    <w:rsid w:val="005214D2"/>
    <w:rsid w:val="005229B8"/>
    <w:rsid w:val="005230E4"/>
    <w:rsid w:val="00524C09"/>
    <w:rsid w:val="005254B2"/>
    <w:rsid w:val="00536841"/>
    <w:rsid w:val="00541A2C"/>
    <w:rsid w:val="005430D3"/>
    <w:rsid w:val="00555760"/>
    <w:rsid w:val="00571309"/>
    <w:rsid w:val="00572B83"/>
    <w:rsid w:val="005768D5"/>
    <w:rsid w:val="00576C28"/>
    <w:rsid w:val="00577CA7"/>
    <w:rsid w:val="00577D8F"/>
    <w:rsid w:val="005803F6"/>
    <w:rsid w:val="00583A2E"/>
    <w:rsid w:val="00583C75"/>
    <w:rsid w:val="0058429C"/>
    <w:rsid w:val="0058623D"/>
    <w:rsid w:val="00586FDC"/>
    <w:rsid w:val="005935D5"/>
    <w:rsid w:val="005A0B78"/>
    <w:rsid w:val="005A2E5D"/>
    <w:rsid w:val="005B4B5C"/>
    <w:rsid w:val="005B534A"/>
    <w:rsid w:val="005C2898"/>
    <w:rsid w:val="005C3974"/>
    <w:rsid w:val="005C3D54"/>
    <w:rsid w:val="005C75CE"/>
    <w:rsid w:val="005D5219"/>
    <w:rsid w:val="005D6912"/>
    <w:rsid w:val="005E12DD"/>
    <w:rsid w:val="005E447D"/>
    <w:rsid w:val="005E65C4"/>
    <w:rsid w:val="005E73D3"/>
    <w:rsid w:val="005E7C11"/>
    <w:rsid w:val="005F4201"/>
    <w:rsid w:val="00603B14"/>
    <w:rsid w:val="00603E53"/>
    <w:rsid w:val="0060564E"/>
    <w:rsid w:val="00606831"/>
    <w:rsid w:val="006132AA"/>
    <w:rsid w:val="006148E3"/>
    <w:rsid w:val="0062413C"/>
    <w:rsid w:val="006247DF"/>
    <w:rsid w:val="00626D56"/>
    <w:rsid w:val="0063152F"/>
    <w:rsid w:val="0063189E"/>
    <w:rsid w:val="00640D74"/>
    <w:rsid w:val="00645E0D"/>
    <w:rsid w:val="00655689"/>
    <w:rsid w:val="00656FED"/>
    <w:rsid w:val="006604BA"/>
    <w:rsid w:val="0066271F"/>
    <w:rsid w:val="00666467"/>
    <w:rsid w:val="006702AC"/>
    <w:rsid w:val="00673800"/>
    <w:rsid w:val="00673EFE"/>
    <w:rsid w:val="00675967"/>
    <w:rsid w:val="006915D3"/>
    <w:rsid w:val="00692041"/>
    <w:rsid w:val="00696BC8"/>
    <w:rsid w:val="00697248"/>
    <w:rsid w:val="00697737"/>
    <w:rsid w:val="00697BC8"/>
    <w:rsid w:val="006A505B"/>
    <w:rsid w:val="006B1BA2"/>
    <w:rsid w:val="006B2962"/>
    <w:rsid w:val="006B673A"/>
    <w:rsid w:val="006C6AD2"/>
    <w:rsid w:val="006D36CE"/>
    <w:rsid w:val="006D3C6F"/>
    <w:rsid w:val="006D544D"/>
    <w:rsid w:val="006E36FB"/>
    <w:rsid w:val="006E7210"/>
    <w:rsid w:val="006F579C"/>
    <w:rsid w:val="00703494"/>
    <w:rsid w:val="00707507"/>
    <w:rsid w:val="00710740"/>
    <w:rsid w:val="00713B89"/>
    <w:rsid w:val="00714E96"/>
    <w:rsid w:val="00715293"/>
    <w:rsid w:val="00717407"/>
    <w:rsid w:val="007268B3"/>
    <w:rsid w:val="00727BCA"/>
    <w:rsid w:val="00727EA1"/>
    <w:rsid w:val="007310E1"/>
    <w:rsid w:val="0073170A"/>
    <w:rsid w:val="00735134"/>
    <w:rsid w:val="00735D2B"/>
    <w:rsid w:val="00744ECC"/>
    <w:rsid w:val="0074544E"/>
    <w:rsid w:val="00745711"/>
    <w:rsid w:val="00747D0E"/>
    <w:rsid w:val="007515ED"/>
    <w:rsid w:val="00752AED"/>
    <w:rsid w:val="00753621"/>
    <w:rsid w:val="00764A51"/>
    <w:rsid w:val="00767AE3"/>
    <w:rsid w:val="00770FF5"/>
    <w:rsid w:val="007758E7"/>
    <w:rsid w:val="00780B2F"/>
    <w:rsid w:val="00783DFC"/>
    <w:rsid w:val="00787215"/>
    <w:rsid w:val="0079193E"/>
    <w:rsid w:val="007921F1"/>
    <w:rsid w:val="00793D35"/>
    <w:rsid w:val="0079745A"/>
    <w:rsid w:val="00797D9F"/>
    <w:rsid w:val="007A2FB4"/>
    <w:rsid w:val="007B0AAA"/>
    <w:rsid w:val="007B0E04"/>
    <w:rsid w:val="007B1CD1"/>
    <w:rsid w:val="007B6E14"/>
    <w:rsid w:val="007B7855"/>
    <w:rsid w:val="007C3DD1"/>
    <w:rsid w:val="007C43BF"/>
    <w:rsid w:val="007C6FBF"/>
    <w:rsid w:val="007D2E16"/>
    <w:rsid w:val="007D3536"/>
    <w:rsid w:val="007D4305"/>
    <w:rsid w:val="007D5BE9"/>
    <w:rsid w:val="007E1904"/>
    <w:rsid w:val="007E2A38"/>
    <w:rsid w:val="007E67F2"/>
    <w:rsid w:val="00803BB3"/>
    <w:rsid w:val="0081126D"/>
    <w:rsid w:val="00812D04"/>
    <w:rsid w:val="00814566"/>
    <w:rsid w:val="0082461A"/>
    <w:rsid w:val="008249F2"/>
    <w:rsid w:val="00825534"/>
    <w:rsid w:val="008311FC"/>
    <w:rsid w:val="008319EF"/>
    <w:rsid w:val="008418AD"/>
    <w:rsid w:val="00841BAA"/>
    <w:rsid w:val="00842CC2"/>
    <w:rsid w:val="00846100"/>
    <w:rsid w:val="00846473"/>
    <w:rsid w:val="00853F08"/>
    <w:rsid w:val="00860912"/>
    <w:rsid w:val="00860EE1"/>
    <w:rsid w:val="00862027"/>
    <w:rsid w:val="008646BF"/>
    <w:rsid w:val="00870C5F"/>
    <w:rsid w:val="0088081F"/>
    <w:rsid w:val="00881F26"/>
    <w:rsid w:val="00883B99"/>
    <w:rsid w:val="008849A1"/>
    <w:rsid w:val="00886E01"/>
    <w:rsid w:val="008916E2"/>
    <w:rsid w:val="00893402"/>
    <w:rsid w:val="008A3A72"/>
    <w:rsid w:val="008A5760"/>
    <w:rsid w:val="008B0176"/>
    <w:rsid w:val="008B208E"/>
    <w:rsid w:val="008B62A3"/>
    <w:rsid w:val="008B70C4"/>
    <w:rsid w:val="008C2399"/>
    <w:rsid w:val="008C38D4"/>
    <w:rsid w:val="008C5847"/>
    <w:rsid w:val="008C5DF5"/>
    <w:rsid w:val="008D20E4"/>
    <w:rsid w:val="008D25AC"/>
    <w:rsid w:val="008D4E51"/>
    <w:rsid w:val="008D6EF3"/>
    <w:rsid w:val="008D6F1F"/>
    <w:rsid w:val="008D7B2F"/>
    <w:rsid w:val="008E2856"/>
    <w:rsid w:val="008E7DD4"/>
    <w:rsid w:val="008F1F0F"/>
    <w:rsid w:val="008F4D73"/>
    <w:rsid w:val="008F723E"/>
    <w:rsid w:val="009070AA"/>
    <w:rsid w:val="00907FB1"/>
    <w:rsid w:val="0092061B"/>
    <w:rsid w:val="00920E77"/>
    <w:rsid w:val="00921E47"/>
    <w:rsid w:val="00922CB6"/>
    <w:rsid w:val="0092555B"/>
    <w:rsid w:val="00926AF9"/>
    <w:rsid w:val="00927D1B"/>
    <w:rsid w:val="00930CD4"/>
    <w:rsid w:val="00935498"/>
    <w:rsid w:val="00947B63"/>
    <w:rsid w:val="00950A3A"/>
    <w:rsid w:val="00956F87"/>
    <w:rsid w:val="009639AF"/>
    <w:rsid w:val="0096608F"/>
    <w:rsid w:val="00966F47"/>
    <w:rsid w:val="00970F5D"/>
    <w:rsid w:val="00977AC5"/>
    <w:rsid w:val="009813BA"/>
    <w:rsid w:val="00982D6F"/>
    <w:rsid w:val="00983365"/>
    <w:rsid w:val="00984C9C"/>
    <w:rsid w:val="009918CF"/>
    <w:rsid w:val="009A04AF"/>
    <w:rsid w:val="009A0BD3"/>
    <w:rsid w:val="009A6412"/>
    <w:rsid w:val="009B21FC"/>
    <w:rsid w:val="009C292B"/>
    <w:rsid w:val="009C2FA0"/>
    <w:rsid w:val="009C3E47"/>
    <w:rsid w:val="009C4BD8"/>
    <w:rsid w:val="009C6CD0"/>
    <w:rsid w:val="009D4DFA"/>
    <w:rsid w:val="009D6C05"/>
    <w:rsid w:val="009E756F"/>
    <w:rsid w:val="009E78F7"/>
    <w:rsid w:val="009E7D73"/>
    <w:rsid w:val="009F419A"/>
    <w:rsid w:val="00A012E1"/>
    <w:rsid w:val="00A02985"/>
    <w:rsid w:val="00A037C6"/>
    <w:rsid w:val="00A03EE3"/>
    <w:rsid w:val="00A07F9E"/>
    <w:rsid w:val="00A10157"/>
    <w:rsid w:val="00A102B5"/>
    <w:rsid w:val="00A20E63"/>
    <w:rsid w:val="00A24E3E"/>
    <w:rsid w:val="00A24FFB"/>
    <w:rsid w:val="00A269DA"/>
    <w:rsid w:val="00A27A70"/>
    <w:rsid w:val="00A33950"/>
    <w:rsid w:val="00A34BD5"/>
    <w:rsid w:val="00A35079"/>
    <w:rsid w:val="00A35DE9"/>
    <w:rsid w:val="00A42467"/>
    <w:rsid w:val="00A43470"/>
    <w:rsid w:val="00A454F2"/>
    <w:rsid w:val="00A46EA0"/>
    <w:rsid w:val="00A52951"/>
    <w:rsid w:val="00A600D6"/>
    <w:rsid w:val="00A663AF"/>
    <w:rsid w:val="00A82764"/>
    <w:rsid w:val="00A833A1"/>
    <w:rsid w:val="00A8490B"/>
    <w:rsid w:val="00A852A6"/>
    <w:rsid w:val="00A9200B"/>
    <w:rsid w:val="00A9252A"/>
    <w:rsid w:val="00A944C2"/>
    <w:rsid w:val="00A962A8"/>
    <w:rsid w:val="00AA22F7"/>
    <w:rsid w:val="00AA4924"/>
    <w:rsid w:val="00AA51F8"/>
    <w:rsid w:val="00AA54E5"/>
    <w:rsid w:val="00AB0D40"/>
    <w:rsid w:val="00AB210A"/>
    <w:rsid w:val="00AB2E2C"/>
    <w:rsid w:val="00AB2F9D"/>
    <w:rsid w:val="00AB3957"/>
    <w:rsid w:val="00AB3D02"/>
    <w:rsid w:val="00AB5174"/>
    <w:rsid w:val="00AB6186"/>
    <w:rsid w:val="00AC193D"/>
    <w:rsid w:val="00AC465B"/>
    <w:rsid w:val="00AC4E0A"/>
    <w:rsid w:val="00AC5BAF"/>
    <w:rsid w:val="00AD0820"/>
    <w:rsid w:val="00AD5876"/>
    <w:rsid w:val="00AD73B9"/>
    <w:rsid w:val="00AD75E4"/>
    <w:rsid w:val="00AE0B9B"/>
    <w:rsid w:val="00AE1208"/>
    <w:rsid w:val="00AE25A5"/>
    <w:rsid w:val="00AF524D"/>
    <w:rsid w:val="00AF5B4E"/>
    <w:rsid w:val="00B04424"/>
    <w:rsid w:val="00B05632"/>
    <w:rsid w:val="00B05D20"/>
    <w:rsid w:val="00B06C5C"/>
    <w:rsid w:val="00B07217"/>
    <w:rsid w:val="00B07D2B"/>
    <w:rsid w:val="00B122AF"/>
    <w:rsid w:val="00B14A2E"/>
    <w:rsid w:val="00B14BD1"/>
    <w:rsid w:val="00B162B7"/>
    <w:rsid w:val="00B2005A"/>
    <w:rsid w:val="00B212EA"/>
    <w:rsid w:val="00B213CA"/>
    <w:rsid w:val="00B250B6"/>
    <w:rsid w:val="00B2667A"/>
    <w:rsid w:val="00B31836"/>
    <w:rsid w:val="00B33367"/>
    <w:rsid w:val="00B3446E"/>
    <w:rsid w:val="00B37959"/>
    <w:rsid w:val="00B37A75"/>
    <w:rsid w:val="00B407DF"/>
    <w:rsid w:val="00B4383B"/>
    <w:rsid w:val="00B43E99"/>
    <w:rsid w:val="00B506B2"/>
    <w:rsid w:val="00B52B87"/>
    <w:rsid w:val="00B56B1E"/>
    <w:rsid w:val="00B56E05"/>
    <w:rsid w:val="00B608FB"/>
    <w:rsid w:val="00B612AF"/>
    <w:rsid w:val="00B71028"/>
    <w:rsid w:val="00B72EAE"/>
    <w:rsid w:val="00B74FBA"/>
    <w:rsid w:val="00B82624"/>
    <w:rsid w:val="00B82834"/>
    <w:rsid w:val="00B832A6"/>
    <w:rsid w:val="00B8721C"/>
    <w:rsid w:val="00B90879"/>
    <w:rsid w:val="00B95470"/>
    <w:rsid w:val="00B9704E"/>
    <w:rsid w:val="00BA11E5"/>
    <w:rsid w:val="00BA44A4"/>
    <w:rsid w:val="00BA6511"/>
    <w:rsid w:val="00BC09E1"/>
    <w:rsid w:val="00BC49A3"/>
    <w:rsid w:val="00BC676D"/>
    <w:rsid w:val="00BC6A20"/>
    <w:rsid w:val="00BD287E"/>
    <w:rsid w:val="00BD3F2E"/>
    <w:rsid w:val="00BE10AB"/>
    <w:rsid w:val="00BE1D96"/>
    <w:rsid w:val="00BE442E"/>
    <w:rsid w:val="00BE4A94"/>
    <w:rsid w:val="00BE5161"/>
    <w:rsid w:val="00BF2FE4"/>
    <w:rsid w:val="00C000D3"/>
    <w:rsid w:val="00C0157D"/>
    <w:rsid w:val="00C1304F"/>
    <w:rsid w:val="00C14D46"/>
    <w:rsid w:val="00C16FD2"/>
    <w:rsid w:val="00C172F1"/>
    <w:rsid w:val="00C17CCE"/>
    <w:rsid w:val="00C2308E"/>
    <w:rsid w:val="00C31FB2"/>
    <w:rsid w:val="00C325CB"/>
    <w:rsid w:val="00C34A07"/>
    <w:rsid w:val="00C37D62"/>
    <w:rsid w:val="00C42D35"/>
    <w:rsid w:val="00C56045"/>
    <w:rsid w:val="00C57AD0"/>
    <w:rsid w:val="00C60BF8"/>
    <w:rsid w:val="00C62F14"/>
    <w:rsid w:val="00C632BF"/>
    <w:rsid w:val="00C6757E"/>
    <w:rsid w:val="00C75BE2"/>
    <w:rsid w:val="00C8095C"/>
    <w:rsid w:val="00C833B3"/>
    <w:rsid w:val="00C86603"/>
    <w:rsid w:val="00C86718"/>
    <w:rsid w:val="00C87EA2"/>
    <w:rsid w:val="00C932EC"/>
    <w:rsid w:val="00C97755"/>
    <w:rsid w:val="00C977EF"/>
    <w:rsid w:val="00CA0E8D"/>
    <w:rsid w:val="00CA2B16"/>
    <w:rsid w:val="00CA2F67"/>
    <w:rsid w:val="00CA7866"/>
    <w:rsid w:val="00CB0185"/>
    <w:rsid w:val="00CB1A81"/>
    <w:rsid w:val="00CB1AA7"/>
    <w:rsid w:val="00CB4F59"/>
    <w:rsid w:val="00CB65E1"/>
    <w:rsid w:val="00CB6ED2"/>
    <w:rsid w:val="00CB7018"/>
    <w:rsid w:val="00CC0EFC"/>
    <w:rsid w:val="00CC25D9"/>
    <w:rsid w:val="00CD0C15"/>
    <w:rsid w:val="00CD1259"/>
    <w:rsid w:val="00CD2C1A"/>
    <w:rsid w:val="00CD6104"/>
    <w:rsid w:val="00CD7175"/>
    <w:rsid w:val="00CE1B20"/>
    <w:rsid w:val="00CF1075"/>
    <w:rsid w:val="00CF4540"/>
    <w:rsid w:val="00CF4B35"/>
    <w:rsid w:val="00D026A2"/>
    <w:rsid w:val="00D1530F"/>
    <w:rsid w:val="00D1619A"/>
    <w:rsid w:val="00D16761"/>
    <w:rsid w:val="00D217BB"/>
    <w:rsid w:val="00D251F4"/>
    <w:rsid w:val="00D26AD3"/>
    <w:rsid w:val="00D36C9A"/>
    <w:rsid w:val="00D4128A"/>
    <w:rsid w:val="00D460A7"/>
    <w:rsid w:val="00D542FE"/>
    <w:rsid w:val="00D605E6"/>
    <w:rsid w:val="00D6292A"/>
    <w:rsid w:val="00D63E43"/>
    <w:rsid w:val="00D6530F"/>
    <w:rsid w:val="00D6647A"/>
    <w:rsid w:val="00D70BD4"/>
    <w:rsid w:val="00D70D48"/>
    <w:rsid w:val="00D723B3"/>
    <w:rsid w:val="00D72439"/>
    <w:rsid w:val="00D7412E"/>
    <w:rsid w:val="00D74FEC"/>
    <w:rsid w:val="00D83DD6"/>
    <w:rsid w:val="00D87685"/>
    <w:rsid w:val="00D920E4"/>
    <w:rsid w:val="00D92BCB"/>
    <w:rsid w:val="00D962A4"/>
    <w:rsid w:val="00DA1E82"/>
    <w:rsid w:val="00DA34E1"/>
    <w:rsid w:val="00DA664A"/>
    <w:rsid w:val="00DA767C"/>
    <w:rsid w:val="00DA78B5"/>
    <w:rsid w:val="00DB5AA2"/>
    <w:rsid w:val="00DC7218"/>
    <w:rsid w:val="00DC7313"/>
    <w:rsid w:val="00DD0557"/>
    <w:rsid w:val="00DD0D14"/>
    <w:rsid w:val="00DD2831"/>
    <w:rsid w:val="00DD7E25"/>
    <w:rsid w:val="00DE6F9D"/>
    <w:rsid w:val="00DF2E30"/>
    <w:rsid w:val="00DF3C78"/>
    <w:rsid w:val="00E015EA"/>
    <w:rsid w:val="00E01CC0"/>
    <w:rsid w:val="00E046B7"/>
    <w:rsid w:val="00E05BC7"/>
    <w:rsid w:val="00E079F9"/>
    <w:rsid w:val="00E106FF"/>
    <w:rsid w:val="00E11F75"/>
    <w:rsid w:val="00E20F6E"/>
    <w:rsid w:val="00E227E2"/>
    <w:rsid w:val="00E306AC"/>
    <w:rsid w:val="00E434A8"/>
    <w:rsid w:val="00E5358C"/>
    <w:rsid w:val="00E57418"/>
    <w:rsid w:val="00E61F82"/>
    <w:rsid w:val="00E744D8"/>
    <w:rsid w:val="00E754D3"/>
    <w:rsid w:val="00E802FD"/>
    <w:rsid w:val="00E91CAB"/>
    <w:rsid w:val="00E93243"/>
    <w:rsid w:val="00EA6A0A"/>
    <w:rsid w:val="00EB4703"/>
    <w:rsid w:val="00EC473D"/>
    <w:rsid w:val="00EC5772"/>
    <w:rsid w:val="00EC6FBA"/>
    <w:rsid w:val="00EC74F0"/>
    <w:rsid w:val="00EC7C76"/>
    <w:rsid w:val="00ED47D3"/>
    <w:rsid w:val="00ED6D91"/>
    <w:rsid w:val="00EE0BF5"/>
    <w:rsid w:val="00EE1F9A"/>
    <w:rsid w:val="00EE248E"/>
    <w:rsid w:val="00EF03BF"/>
    <w:rsid w:val="00EF3E53"/>
    <w:rsid w:val="00F0746C"/>
    <w:rsid w:val="00F113D8"/>
    <w:rsid w:val="00F14FDF"/>
    <w:rsid w:val="00F35342"/>
    <w:rsid w:val="00F415EA"/>
    <w:rsid w:val="00F420E0"/>
    <w:rsid w:val="00F47509"/>
    <w:rsid w:val="00F47F8F"/>
    <w:rsid w:val="00F50478"/>
    <w:rsid w:val="00F55767"/>
    <w:rsid w:val="00F56FA4"/>
    <w:rsid w:val="00F61A09"/>
    <w:rsid w:val="00F65BD1"/>
    <w:rsid w:val="00F6728C"/>
    <w:rsid w:val="00F73F8F"/>
    <w:rsid w:val="00F77FCA"/>
    <w:rsid w:val="00F80A50"/>
    <w:rsid w:val="00F857F1"/>
    <w:rsid w:val="00F923C3"/>
    <w:rsid w:val="00F92C5F"/>
    <w:rsid w:val="00F92FF8"/>
    <w:rsid w:val="00F9365E"/>
    <w:rsid w:val="00F94F2D"/>
    <w:rsid w:val="00F9781C"/>
    <w:rsid w:val="00FA1398"/>
    <w:rsid w:val="00FA7463"/>
    <w:rsid w:val="00FB104E"/>
    <w:rsid w:val="00FB57AD"/>
    <w:rsid w:val="00FC342B"/>
    <w:rsid w:val="00FC4543"/>
    <w:rsid w:val="00FC67DF"/>
    <w:rsid w:val="00FC6913"/>
    <w:rsid w:val="00FC704B"/>
    <w:rsid w:val="00FE4F1E"/>
    <w:rsid w:val="00FF2FC4"/>
    <w:rsid w:val="00FF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93492"/>
  <w15:docId w15:val="{C8BE5CF8-9276-4253-A44B-84E8B1B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868"/>
  </w:style>
  <w:style w:type="paragraph" w:styleId="llb">
    <w:name w:val="footer"/>
    <w:basedOn w:val="Norml"/>
    <w:link w:val="llb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868"/>
  </w:style>
  <w:style w:type="paragraph" w:styleId="Listaszerbekezds">
    <w:name w:val="List Paragraph"/>
    <w:basedOn w:val="Norml"/>
    <w:uiPriority w:val="34"/>
    <w:qFormat/>
    <w:rsid w:val="00D167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1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3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nhideWhenUsed/>
    <w:rsid w:val="00FA1398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FA1398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3560</Words>
  <Characters>24571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Chudi Barbara</cp:lastModifiedBy>
  <cp:revision>3</cp:revision>
  <dcterms:created xsi:type="dcterms:W3CDTF">2023-05-15T11:53:00Z</dcterms:created>
  <dcterms:modified xsi:type="dcterms:W3CDTF">2023-05-16T11:41:00Z</dcterms:modified>
</cp:coreProperties>
</file>